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AA1" w:rsidRDefault="00EF4052">
      <w:pPr>
        <w:spacing w:after="0" w:line="240" w:lineRule="auto"/>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p>
    <w:p w:rsidR="004F4AA1" w:rsidRDefault="00EF4052">
      <w:pPr>
        <w:pStyle w:val="a4"/>
        <w:spacing w:after="0" w:line="580" w:lineRule="exact"/>
        <w:jc w:val="center"/>
        <w:rPr>
          <w:rFonts w:ascii="Times New Roman" w:eastAsia="黑体" w:hAnsi="Times New Roman" w:cs="Times New Roman"/>
          <w:sz w:val="36"/>
          <w:szCs w:val="36"/>
        </w:rPr>
      </w:pPr>
      <w:r>
        <w:rPr>
          <w:rFonts w:ascii="Times New Roman" w:eastAsia="黑体" w:hAnsi="Times New Roman" w:cs="Times New Roman" w:hint="eastAsia"/>
          <w:sz w:val="36"/>
          <w:szCs w:val="36"/>
        </w:rPr>
        <w:t>银行函证及回函工作操作指引</w:t>
      </w:r>
    </w:p>
    <w:p w:rsidR="004F4AA1" w:rsidRDefault="004F4AA1">
      <w:pPr>
        <w:pStyle w:val="a4"/>
        <w:spacing w:after="0" w:line="580" w:lineRule="exact"/>
        <w:jc w:val="center"/>
        <w:rPr>
          <w:rFonts w:ascii="Times New Roman" w:eastAsia="仿宋_GB2312" w:hAnsi="Times New Roman" w:cs="Times New Roman"/>
          <w:sz w:val="32"/>
          <w:szCs w:val="32"/>
        </w:rPr>
      </w:pP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根据《财政部</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中国银保监会关于进一步规范银行函证及回函工作的通知》（财会</w:t>
      </w:r>
      <w:r>
        <w:rPr>
          <w:rFonts w:ascii="仿宋_GB2312" w:eastAsia="仿宋_GB2312" w:hAnsi="仿宋_GB2312" w:cs="仿宋_GB2312" w:hint="eastAsia"/>
          <w:sz w:val="32"/>
          <w:szCs w:val="32"/>
        </w:rPr>
        <w:t>〔</w:t>
      </w:r>
      <w:r>
        <w:rPr>
          <w:rFonts w:ascii="宋体" w:eastAsia="宋体" w:hAnsi="宋体" w:cs="宋体" w:hint="eastAsia"/>
          <w:sz w:val="32"/>
          <w:szCs w:val="32"/>
        </w:rPr>
        <w:t>2020</w:t>
      </w:r>
      <w:r>
        <w:rPr>
          <w:rFonts w:ascii="仿宋_GB2312" w:eastAsia="仿宋_GB2312" w:hAnsi="仿宋_GB2312" w:cs="仿宋_GB2312" w:hint="eastAsia"/>
          <w:sz w:val="32"/>
          <w:szCs w:val="32"/>
        </w:rPr>
        <w:t>〕</w:t>
      </w:r>
      <w:r>
        <w:rPr>
          <w:rFonts w:ascii="宋体" w:eastAsia="宋体" w:hAnsi="宋体" w:cs="宋体" w:hint="eastAsia"/>
          <w:sz w:val="32"/>
          <w:szCs w:val="32"/>
        </w:rPr>
        <w:t>12</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的要求，中国注册会计师协会和中国银行业协会制定了《银行函证及回函工作操作指引》，就银行函证及回函工作中的具体事项作进一步明确和细化，以推进会计师事务所和银行业金融机构提高银行函证和回函工作质量。</w:t>
      </w:r>
    </w:p>
    <w:p w:rsidR="004F4AA1" w:rsidRDefault="00EF4052">
      <w:pPr>
        <w:pStyle w:val="1"/>
        <w:spacing w:before="0" w:line="360" w:lineRule="auto"/>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一、银行函证及回函工作办理说明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（一）银行业金融机构应当在其官方网站公布各种函证方式下办理回函工作的部门或网点及其联系方式，如受理跟函的办公地址</w:t>
      </w:r>
      <w:r>
        <w:rPr>
          <w:rFonts w:ascii="Times New Roman" w:eastAsia="仿宋_GB2312" w:hAnsi="Times New Roman" w:cs="Times New Roman"/>
          <w:sz w:val="32"/>
          <w:szCs w:val="32"/>
        </w:rPr>
        <w:t>及跟函所需资料，受理</w:t>
      </w:r>
      <w:r>
        <w:rPr>
          <w:rFonts w:ascii="Times New Roman" w:eastAsia="仿宋_GB2312" w:hAnsi="Times New Roman" w:cs="Times New Roman" w:hint="eastAsia"/>
          <w:sz w:val="32"/>
          <w:szCs w:val="32"/>
        </w:rPr>
        <w:t>邮寄函证的地址、联系人及联系方式，受理数字函证的具体方式等。邮寄银行询证函、跟函、以符合相关规定的数字方式办理银行询证函及回函，均应被视为银行业金融机构可接受的函证方式。</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如银行业金融机构未按照要求公开发布函证受理要求，则不得拒绝受理注册会计师按照要求实施的跟函或邮寄银行询证函。银行业金融机构不得</w:t>
      </w:r>
      <w:r>
        <w:rPr>
          <w:rFonts w:ascii="Times New Roman" w:eastAsia="仿宋_GB2312" w:hAnsi="Times New Roman" w:cs="Times New Roman"/>
          <w:sz w:val="32"/>
          <w:szCs w:val="32"/>
        </w:rPr>
        <w:t>额外要求加盖会计师事务所印章。</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Pr>
          <w:rFonts w:ascii="Times New Roman" w:eastAsia="仿宋_GB2312" w:hAnsi="Times New Roman" w:cs="Times New Roman"/>
          <w:sz w:val="32"/>
          <w:szCs w:val="32"/>
        </w:rPr>
        <w:t>银行业金融机构</w:t>
      </w:r>
      <w:r>
        <w:rPr>
          <w:rFonts w:ascii="Times New Roman" w:eastAsia="仿宋_GB2312" w:hAnsi="Times New Roman" w:cs="Times New Roman" w:hint="eastAsia"/>
          <w:sz w:val="32"/>
          <w:szCs w:val="32"/>
        </w:rPr>
        <w:t>回函服务收费属于市场调节价的，</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当依法制定并公示</w:t>
      </w:r>
      <w:r>
        <w:rPr>
          <w:rFonts w:ascii="Times New Roman" w:eastAsia="仿宋_GB2312" w:hAnsi="Times New Roman" w:cs="Times New Roman"/>
          <w:sz w:val="32"/>
          <w:szCs w:val="32"/>
        </w:rPr>
        <w:t>回函服务不同内容或档次的收费标准，</w:t>
      </w:r>
      <w:r>
        <w:rPr>
          <w:rFonts w:ascii="Times New Roman" w:eastAsia="仿宋_GB2312" w:hAnsi="Times New Roman" w:cs="Times New Roman"/>
          <w:sz w:val="32"/>
          <w:szCs w:val="32"/>
        </w:rPr>
        <w:lastRenderedPageBreak/>
        <w:t>以及企业不支付或拖欠费用</w:t>
      </w:r>
      <w:r>
        <w:rPr>
          <w:rFonts w:ascii="Times New Roman" w:eastAsia="仿宋_GB2312" w:hAnsi="Times New Roman" w:cs="Times New Roman" w:hint="eastAsia"/>
          <w:sz w:val="32"/>
          <w:szCs w:val="32"/>
        </w:rPr>
        <w:t>等</w:t>
      </w:r>
      <w:r>
        <w:rPr>
          <w:rFonts w:ascii="Times New Roman" w:eastAsia="仿宋_GB2312" w:hAnsi="Times New Roman" w:cs="Times New Roman"/>
          <w:sz w:val="32"/>
          <w:szCs w:val="32"/>
        </w:rPr>
        <w:t>情况的处理办法（如有）。如</w:t>
      </w:r>
      <w:r>
        <w:rPr>
          <w:rFonts w:ascii="Times New Roman" w:eastAsia="仿宋_GB2312" w:hAnsi="Times New Roman" w:cs="Times New Roman" w:hint="eastAsia"/>
          <w:sz w:val="32"/>
          <w:szCs w:val="32"/>
        </w:rPr>
        <w:t>果询证函未满足公开发布的银行询证函受理要求或被审计单位指定账户不足以扣划回函服务费用，银行业金融机构应当及时通知会计师事务所，注册会计师应当与银行业金融机构及时沟通并采取措施，企业应当积极配合。</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Pr>
          <w:rFonts w:ascii="Times New Roman" w:eastAsia="仿宋_GB2312" w:hAnsi="Times New Roman" w:cs="Times New Roman"/>
          <w:sz w:val="32"/>
          <w:szCs w:val="32"/>
        </w:rPr>
        <w:t>银行业金融机构可校验的签章</w:t>
      </w:r>
      <w:r>
        <w:rPr>
          <w:rFonts w:ascii="Times New Roman" w:eastAsia="仿宋_GB2312" w:hAnsi="Times New Roman" w:cs="Times New Roman" w:hint="eastAsia"/>
          <w:sz w:val="32"/>
          <w:szCs w:val="32"/>
        </w:rPr>
        <w:t>包括但不限于企业在银行开户时的预留签章或企业与银行约定在办理函证业务时需要加盖的签章。</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银行业金融机构应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规范银行询证函回函用章的管理制度，加强回函用章管理，明确回函用章。</w:t>
      </w:r>
      <w:r>
        <w:rPr>
          <w:rFonts w:ascii="Times New Roman" w:eastAsia="仿宋_GB2312" w:hAnsi="Times New Roman" w:cs="Times New Roman" w:hint="eastAsia"/>
          <w:sz w:val="32"/>
          <w:szCs w:val="32"/>
        </w:rPr>
        <w:t>如果注册会计师收到回函后对银行回函用章产生疑虑，可与银行业金融机构取得联系，银行业金融机构应当配合注册会计师确认回函用章的有效性。</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Pr>
          <w:rFonts w:ascii="Times New Roman" w:eastAsia="仿宋_GB2312" w:hAnsi="Times New Roman" w:cs="Times New Roman"/>
          <w:sz w:val="32"/>
          <w:szCs w:val="32"/>
        </w:rPr>
        <w:t>银行业金融机构应当加强回函的复核控制，</w:t>
      </w:r>
      <w:r>
        <w:rPr>
          <w:rFonts w:ascii="Times New Roman" w:eastAsia="仿宋_GB2312" w:hAnsi="Times New Roman" w:cs="Times New Roman" w:hint="eastAsia"/>
          <w:sz w:val="32"/>
          <w:szCs w:val="32"/>
        </w:rPr>
        <w:t>以提供真实准确的回函信息。银行业金融机构在回函处理过程中，应当实现回函处理人员与业务主管人员不相容职责的分离，在银行内部回函操作记录中应当体现处理过程及主管人员复核签字（包括数字签名）等内部控制程序。</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在人工回函的情况下，回函人员应当注意检查银行询证函内容和格式并做好回函留存工作。在填写回函时，回</w:t>
      </w:r>
      <w:r>
        <w:rPr>
          <w:rFonts w:ascii="Times New Roman" w:eastAsia="仿宋_GB2312" w:hAnsi="Times New Roman" w:cs="Times New Roman"/>
          <w:sz w:val="32"/>
          <w:szCs w:val="32"/>
        </w:rPr>
        <w:t>函</w:t>
      </w:r>
      <w:r>
        <w:rPr>
          <w:rFonts w:ascii="Times New Roman" w:eastAsia="仿宋_GB2312" w:hAnsi="Times New Roman" w:cs="Times New Roman" w:hint="eastAsia"/>
          <w:sz w:val="32"/>
          <w:szCs w:val="32"/>
        </w:rPr>
        <w:t>人员应当根据真实业务情况进行填写，</w:t>
      </w:r>
      <w:r>
        <w:rPr>
          <w:rFonts w:ascii="Times New Roman" w:eastAsia="仿宋_GB2312" w:hAnsi="Times New Roman" w:cs="Times New Roman"/>
          <w:sz w:val="32"/>
          <w:szCs w:val="32"/>
        </w:rPr>
        <w:t>由</w:t>
      </w:r>
      <w:r>
        <w:rPr>
          <w:rFonts w:ascii="Times New Roman" w:eastAsia="仿宋_GB2312" w:hAnsi="Times New Roman" w:cs="Times New Roman" w:hint="eastAsia"/>
          <w:sz w:val="32"/>
          <w:szCs w:val="32"/>
        </w:rPr>
        <w:t>回函</w:t>
      </w:r>
      <w:r>
        <w:rPr>
          <w:rFonts w:ascii="Times New Roman" w:eastAsia="仿宋_GB2312" w:hAnsi="Times New Roman" w:cs="Times New Roman"/>
          <w:sz w:val="32"/>
          <w:szCs w:val="32"/>
        </w:rPr>
        <w:t>人员、复核人员签</w:t>
      </w:r>
      <w:r>
        <w:rPr>
          <w:rFonts w:ascii="Times New Roman" w:eastAsia="仿宋_GB2312" w:hAnsi="Times New Roman" w:cs="Times New Roman" w:hint="eastAsia"/>
          <w:sz w:val="32"/>
          <w:szCs w:val="32"/>
        </w:rPr>
        <w:t>字</w:t>
      </w:r>
      <w:r>
        <w:rPr>
          <w:rFonts w:ascii="Times New Roman" w:eastAsia="仿宋_GB2312" w:hAnsi="Times New Roman" w:cs="Times New Roman"/>
          <w:sz w:val="32"/>
          <w:szCs w:val="32"/>
        </w:rPr>
        <w:t>并加盖有效印章。</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在采用自动化方式回函的情况下</w:t>
      </w:r>
      <w:r>
        <w:rPr>
          <w:rFonts w:ascii="Times New Roman" w:eastAsia="仿宋_GB2312" w:hAnsi="Times New Roman" w:cs="Times New Roman"/>
          <w:sz w:val="32"/>
          <w:szCs w:val="32"/>
        </w:rPr>
        <w:t>，银行业金融机构</w:t>
      </w:r>
      <w:r>
        <w:rPr>
          <w:rFonts w:ascii="Times New Roman" w:eastAsia="仿宋_GB2312" w:hAnsi="Times New Roman" w:cs="Times New Roman" w:hint="eastAsia"/>
          <w:sz w:val="32"/>
          <w:szCs w:val="32"/>
        </w:rPr>
        <w:t>应当</w:t>
      </w:r>
      <w:r>
        <w:rPr>
          <w:rFonts w:ascii="Times New Roman" w:eastAsia="仿宋_GB2312" w:hAnsi="Times New Roman" w:cs="Times New Roman"/>
          <w:sz w:val="32"/>
          <w:szCs w:val="32"/>
        </w:rPr>
        <w:t>在获得被审计单位适当授权后，配合会计师事务所或其他第三方机构提供真实、准确的回函信息，并建立完备的回函系统控制。</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（五）银行业金融机构应当做好回函操作记录的保管工作。在人工回函情况下，回函经办人员应当留存相关回函复印件、回函操作记录或影像文件，相关资料的保管期限参照《国家档案局令第</w:t>
      </w:r>
      <w:r>
        <w:rPr>
          <w:rFonts w:ascii="宋体" w:eastAsia="宋体" w:hAnsi="宋体" w:cs="宋体" w:hint="eastAsia"/>
          <w:sz w:val="32"/>
          <w:szCs w:val="32"/>
        </w:rPr>
        <w:t>10</w:t>
      </w:r>
      <w:r>
        <w:rPr>
          <w:rFonts w:ascii="Times New Roman" w:eastAsia="仿宋_GB2312" w:hAnsi="Times New Roman" w:cs="Times New Roman" w:hint="eastAsia"/>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企业文件材料归档范围和档案保管期限规定》内有关企业与金融机构、中介机构及其他组织和个人来往文件材料的规定执行。在数字回函情况下，保管期限参照国家档案局印发的《企业电子文件归档和电子档案管理指南》有关保管期限的规定执行。</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银行业金融机构应</w:t>
      </w:r>
      <w:r>
        <w:rPr>
          <w:rFonts w:ascii="Times New Roman" w:eastAsia="仿宋_GB2312" w:hAnsi="Times New Roman" w:cs="Times New Roman" w:hint="eastAsia"/>
          <w:sz w:val="32"/>
          <w:szCs w:val="32"/>
        </w:rPr>
        <w:t>当通过内部审计或内部控制评价等方式，定期对回函问题及投诉事项进行回溯整改。</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注册会计师应当严格遵守《关于进一步规范银行函证及回函工作的通知》</w:t>
      </w:r>
      <w:r>
        <w:rPr>
          <w:rFonts w:ascii="Times New Roman" w:eastAsia="仿宋_GB2312" w:hAnsi="Times New Roman" w:cs="Times New Roman" w:hint="eastAsia"/>
          <w:sz w:val="32"/>
          <w:szCs w:val="32"/>
        </w:rPr>
        <w:t>（财会</w:t>
      </w:r>
      <w:r>
        <w:rPr>
          <w:rFonts w:ascii="仿宋_GB2312" w:eastAsia="仿宋_GB2312" w:hAnsi="仿宋_GB2312" w:cs="仿宋_GB2312" w:hint="eastAsia"/>
          <w:sz w:val="32"/>
          <w:szCs w:val="32"/>
        </w:rPr>
        <w:t>〔</w:t>
      </w:r>
      <w:r>
        <w:rPr>
          <w:rFonts w:ascii="宋体" w:eastAsia="宋体" w:hAnsi="宋体" w:cs="宋体" w:hint="eastAsia"/>
          <w:sz w:val="32"/>
          <w:szCs w:val="32"/>
        </w:rPr>
        <w:t>2020</w:t>
      </w:r>
      <w:r>
        <w:rPr>
          <w:rFonts w:ascii="仿宋_GB2312" w:eastAsia="仿宋_GB2312" w:hAnsi="仿宋_GB2312" w:cs="仿宋_GB2312" w:hint="eastAsia"/>
          <w:sz w:val="32"/>
          <w:szCs w:val="32"/>
        </w:rPr>
        <w:t>〕</w:t>
      </w:r>
      <w:r>
        <w:rPr>
          <w:rFonts w:ascii="宋体" w:eastAsia="宋体" w:hAnsi="宋体" w:cs="宋体" w:hint="eastAsia"/>
          <w:sz w:val="32"/>
          <w:szCs w:val="32"/>
        </w:rPr>
        <w:t>12</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和本操作指引的要求，按照中国注册会计师审计准则的规定</w:t>
      </w:r>
      <w:r>
        <w:rPr>
          <w:rFonts w:ascii="Times New Roman" w:eastAsia="仿宋_GB2312" w:hAnsi="Times New Roman" w:cs="Times New Roman" w:hint="eastAsia"/>
          <w:sz w:val="32"/>
          <w:szCs w:val="32"/>
        </w:rPr>
        <w:t>实施函证程序。在实施银行函证过程中，注册会计师应当直接发出银行询证函并直接从被询证方获取书面回函，并始终对银行询证函的全过程保持控制，包括确定需要确认或填列的信息、选择适当的被询证者、设计询证函、发出询证函并予以跟进。</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注册会计师应当对银行询证函（包括回函）中所列信息严格保密，仅用于注册会计师执业目的。</w:t>
      </w:r>
    </w:p>
    <w:p w:rsidR="004F4AA1" w:rsidRDefault="00EF4052">
      <w:pPr>
        <w:pStyle w:val="1"/>
        <w:spacing w:before="0" w:line="360" w:lineRule="auto"/>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t>二、银行询证函格式总体说明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本指引附</w:t>
      </w:r>
      <w:r>
        <w:rPr>
          <w:rFonts w:ascii="宋体" w:eastAsia="宋体" w:hAnsi="宋体" w:cs="宋体" w:hint="eastAsia"/>
          <w:sz w:val="32"/>
          <w:szCs w:val="32"/>
        </w:rPr>
        <w:t>1</w:t>
      </w:r>
      <w:r>
        <w:rPr>
          <w:rFonts w:ascii="仿宋_GB2312" w:eastAsia="仿宋_GB2312" w:hAnsi="仿宋_GB2312" w:cs="仿宋_GB2312" w:hint="eastAsia"/>
          <w:sz w:val="32"/>
          <w:szCs w:val="32"/>
        </w:rPr>
        <w:t>-</w:t>
      </w:r>
      <w:r>
        <w:rPr>
          <w:rFonts w:ascii="宋体" w:eastAsia="宋体" w:hAnsi="宋体" w:cs="宋体" w:hint="eastAsia"/>
          <w:sz w:val="32"/>
          <w:szCs w:val="32"/>
        </w:rPr>
        <w:t>3</w:t>
      </w:r>
      <w:r>
        <w:rPr>
          <w:rFonts w:ascii="仿宋_GB2312" w:eastAsia="仿宋_GB2312" w:hAnsi="仿宋_GB2312" w:cs="仿宋_GB2312" w:hint="eastAsia"/>
          <w:sz w:val="32"/>
          <w:szCs w:val="32"/>
        </w:rPr>
        <w:t>分</w:t>
      </w:r>
      <w:r>
        <w:rPr>
          <w:rFonts w:ascii="Times New Roman" w:eastAsia="仿宋_GB2312" w:hAnsi="Times New Roman" w:cs="Times New Roman"/>
          <w:sz w:val="32"/>
          <w:szCs w:val="32"/>
        </w:rPr>
        <w:t>别</w:t>
      </w:r>
      <w:r>
        <w:rPr>
          <w:rFonts w:ascii="Times New Roman" w:eastAsia="仿宋_GB2312" w:hAnsi="Times New Roman" w:cs="Times New Roman" w:hint="eastAsia"/>
          <w:sz w:val="32"/>
          <w:szCs w:val="32"/>
        </w:rPr>
        <w:t>提供了适用于不同情况下的银行询证函标准格式。其中，</w:t>
      </w:r>
      <w:r>
        <w:rPr>
          <w:rFonts w:ascii="仿宋_GB2312" w:eastAsia="仿宋_GB2312" w:hAnsi="仿宋_GB2312" w:cs="仿宋_GB2312" w:hint="eastAsia"/>
          <w:sz w:val="32"/>
          <w:szCs w:val="32"/>
        </w:rPr>
        <w:t>附</w:t>
      </w:r>
      <w:r>
        <w:rPr>
          <w:rFonts w:ascii="宋体" w:eastAsia="宋体" w:hAnsi="宋体" w:cs="宋体" w:hint="eastAsia"/>
          <w:sz w:val="32"/>
          <w:szCs w:val="32"/>
        </w:rPr>
        <w:t>1</w:t>
      </w:r>
      <w:r>
        <w:rPr>
          <w:rFonts w:ascii="仿宋_GB2312" w:eastAsia="仿宋_GB2312" w:hAnsi="仿宋_GB2312" w:cs="仿宋_GB2312" w:hint="eastAsia"/>
          <w:sz w:val="32"/>
          <w:szCs w:val="32"/>
        </w:rPr>
        <w:t>和附</w:t>
      </w:r>
      <w:r>
        <w:rPr>
          <w:rFonts w:ascii="宋体" w:eastAsia="宋体" w:hAnsi="宋体" w:cs="宋体" w:hint="eastAsia"/>
          <w:sz w:val="32"/>
          <w:szCs w:val="32"/>
        </w:rPr>
        <w:t>2</w:t>
      </w:r>
      <w:r>
        <w:rPr>
          <w:rFonts w:ascii="仿宋_GB2312" w:eastAsia="仿宋_GB2312" w:hAnsi="仿宋_GB2312" w:cs="仿宋_GB2312" w:hint="eastAsia"/>
          <w:sz w:val="32"/>
          <w:szCs w:val="32"/>
        </w:rPr>
        <w:t>分</w:t>
      </w:r>
      <w:r>
        <w:rPr>
          <w:rFonts w:ascii="Times New Roman" w:eastAsia="仿宋_GB2312" w:hAnsi="Times New Roman" w:cs="Times New Roman"/>
          <w:sz w:val="32"/>
          <w:szCs w:val="32"/>
        </w:rPr>
        <w:t>别</w:t>
      </w:r>
      <w:r>
        <w:rPr>
          <w:rFonts w:ascii="Times New Roman" w:eastAsia="仿宋_GB2312" w:hAnsi="Times New Roman" w:cs="Times New Roman" w:hint="eastAsia"/>
          <w:sz w:val="32"/>
          <w:szCs w:val="32"/>
        </w:rPr>
        <w:t>提供了适用于注册会计师执行财务报表审计业务的两种询证函格式（即格式一和格式二），供注册会计师和银行业金融机构在实务中选择使用；附</w:t>
      </w:r>
      <w:r>
        <w:rPr>
          <w:rFonts w:ascii="宋体" w:eastAsia="宋体" w:hAnsi="宋体" w:cs="宋体" w:hint="eastAsia"/>
          <w:sz w:val="32"/>
          <w:szCs w:val="32"/>
        </w:rPr>
        <w:t>3</w:t>
      </w:r>
      <w:r>
        <w:rPr>
          <w:rFonts w:ascii="Times New Roman" w:eastAsia="仿宋_GB2312" w:hAnsi="Times New Roman" w:cs="Times New Roman"/>
          <w:sz w:val="32"/>
          <w:szCs w:val="32"/>
        </w:rPr>
        <w:t>提供了适用于验资业务的银行</w:t>
      </w:r>
      <w:r>
        <w:rPr>
          <w:rFonts w:ascii="Times New Roman" w:eastAsia="仿宋_GB2312" w:hAnsi="Times New Roman" w:cs="Times New Roman" w:hint="eastAsia"/>
          <w:sz w:val="32"/>
          <w:szCs w:val="32"/>
        </w:rPr>
        <w:t>询证函格式。</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（一）银行询证函（格式一）与（格式二）通用说明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银行询证函（格式一）和（格式二）主要适用于注册会计师执行财务报表审计业务。</w:t>
      </w:r>
      <w:r>
        <w:rPr>
          <w:rFonts w:ascii="Times New Roman" w:eastAsia="仿宋_GB2312" w:hAnsi="Times New Roman" w:cs="Times New Roman"/>
          <w:sz w:val="32"/>
          <w:szCs w:val="32"/>
        </w:rPr>
        <w:t>对</w:t>
      </w:r>
      <w:r>
        <w:rPr>
          <w:rFonts w:ascii="Times New Roman" w:eastAsia="仿宋_GB2312" w:hAnsi="Times New Roman" w:cs="Times New Roman" w:hint="eastAsia"/>
          <w:sz w:val="32"/>
          <w:szCs w:val="32"/>
        </w:rPr>
        <w:t>于</w:t>
      </w:r>
      <w:r>
        <w:rPr>
          <w:rFonts w:ascii="Times New Roman" w:eastAsia="仿宋_GB2312" w:hAnsi="Times New Roman" w:cs="Times New Roman"/>
          <w:sz w:val="32"/>
          <w:szCs w:val="32"/>
        </w:rPr>
        <w:t>财务报表审计以外的业务，注册会计师或其他第三方机构可以参考该格式，在必要时根据具体业务需要对格式进行适当调整，如对银行</w:t>
      </w:r>
      <w:r>
        <w:rPr>
          <w:rFonts w:ascii="Times New Roman" w:eastAsia="仿宋_GB2312" w:hAnsi="Times New Roman" w:cs="Times New Roman" w:hint="eastAsia"/>
          <w:sz w:val="32"/>
          <w:szCs w:val="32"/>
        </w:rPr>
        <w:t>询证函（格式一）与（格式二）中部分信息（例如，注册会计师执行函证工作的目的、函证工作所遵循的准则，以及回函方式和联系方式等）根据实际情况自行调整。</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仿宋_GB2312" w:eastAsia="仿宋_GB2312" w:hAnsi="仿宋_GB2312" w:cs="仿宋_GB2312" w:hint="eastAsia"/>
          <w:sz w:val="32"/>
          <w:szCs w:val="32"/>
        </w:rPr>
        <w:t>.银</w:t>
      </w:r>
      <w:r>
        <w:rPr>
          <w:rFonts w:ascii="Times New Roman" w:eastAsia="仿宋_GB2312" w:hAnsi="Times New Roman" w:cs="Times New Roman"/>
          <w:sz w:val="32"/>
          <w:szCs w:val="32"/>
        </w:rPr>
        <w:t>行询证函（格式一）与（格式二）均符合《中国注册会计师审计准则</w:t>
      </w:r>
      <w:r>
        <w:rPr>
          <w:rFonts w:ascii="Times New Roman" w:eastAsia="仿宋_GB2312" w:hAnsi="Times New Roman" w:cs="Times New Roman" w:hint="eastAsia"/>
          <w:sz w:val="32"/>
          <w:szCs w:val="32"/>
        </w:rPr>
        <w:t>第</w:t>
      </w:r>
      <w:r>
        <w:rPr>
          <w:rFonts w:ascii="宋体" w:eastAsia="宋体" w:hAnsi="宋体" w:cs="宋体" w:hint="eastAsia"/>
          <w:sz w:val="32"/>
          <w:szCs w:val="32"/>
        </w:rPr>
        <w:t>1312</w:t>
      </w:r>
      <w:r>
        <w:rPr>
          <w:rFonts w:ascii="Times New Roman" w:eastAsia="仿宋_GB2312" w:hAnsi="Times New Roman" w:cs="Times New Roman"/>
          <w:sz w:val="32"/>
          <w:szCs w:val="32"/>
        </w:rPr>
        <w:t>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函证》中积极式函证的定义，既适用于纸质银行询证函，也适用于数字方式的函证及回函工作。其中，格式一由注册会计师根据被审计单位相关信息填写，由银行业金融机构根据本机构所掌握的信息，对注册会计师填写的信息进行核对后回复相符或不符，如不符，</w:t>
      </w:r>
      <w:r>
        <w:rPr>
          <w:rFonts w:ascii="Times New Roman" w:eastAsia="仿宋_GB2312" w:hAnsi="Times New Roman" w:cs="Times New Roman" w:hint="eastAsia"/>
          <w:sz w:val="32"/>
          <w:szCs w:val="32"/>
        </w:rPr>
        <w:lastRenderedPageBreak/>
        <w:t>银行业金融机构还应当提供详细信息；格式二由注册会计师填写需要询证的银行账号等相关信息，由银行业金融机构填写具体信息后回函。</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注册会计师和银行业金融机构在使用银行</w:t>
      </w:r>
      <w:r>
        <w:rPr>
          <w:rFonts w:ascii="Times New Roman" w:eastAsia="仿宋_GB2312" w:hAnsi="Times New Roman" w:cs="Times New Roman" w:hint="eastAsia"/>
          <w:sz w:val="32"/>
          <w:szCs w:val="32"/>
        </w:rPr>
        <w:t>询证函（格式一）或（格式二）进行函证及回函工作时，应确保银行询证函格式规范有效、内容完整。如果采用纸</w:t>
      </w:r>
      <w:r>
        <w:rPr>
          <w:rFonts w:ascii="Times New Roman" w:eastAsia="仿宋_GB2312" w:hAnsi="Times New Roman" w:cs="Times New Roman"/>
          <w:sz w:val="32"/>
          <w:szCs w:val="32"/>
        </w:rPr>
        <w:t>质询证函进行函证，</w:t>
      </w:r>
      <w:r>
        <w:rPr>
          <w:rFonts w:ascii="Times New Roman" w:eastAsia="仿宋_GB2312" w:hAnsi="Times New Roman" w:cs="Times New Roman" w:hint="eastAsia"/>
          <w:sz w:val="32"/>
          <w:szCs w:val="32"/>
        </w:rPr>
        <w:t>询证信息和回函信息可以采用手工填写或打印方式。</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4</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如注册会计师同时函证同一企业的多个账户，且账户的预留银行签章不同，若其中一个账户为扣款账户，即用于扣划</w:t>
      </w:r>
      <w:r>
        <w:rPr>
          <w:rFonts w:ascii="Times New Roman" w:eastAsia="仿宋_GB2312" w:hAnsi="Times New Roman" w:cs="Times New Roman" w:hint="eastAsia"/>
          <w:sz w:val="32"/>
          <w:szCs w:val="32"/>
        </w:rPr>
        <w:t>询证函回函服务相关费用的账户，注册会计师</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要求企业加盖扣款账户预留银行签章以便扣款。银行业金融机构校验此预留银行签章即可办理回函业务。</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5</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银行业金融机构在办理回函业务时，如出现企业全部账户均已销户</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情形，可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校验销户前预留银行签章并办理回函业务。</w:t>
      </w:r>
      <w:r>
        <w:rPr>
          <w:rFonts w:ascii="Times New Roman" w:eastAsia="仿宋_GB2312" w:hAnsi="Times New Roman" w:cs="Times New Roman" w:hint="eastAsia"/>
          <w:sz w:val="32"/>
          <w:szCs w:val="32"/>
        </w:rPr>
        <w:t>如果企业销户后，原预留银行签章已注销，银行业金融机构可以核验以往留存企业的签章资料；如果企业销户后，预留银行签章发生了变更，银行业金融机构可以根据内部管理要求及时与注册会计师联系，要求注册会计师补充提供销户企业的相关说明资料，以供办理回函业务。若银行业金融机构核实原预留签章确有困难，应当及时与注册会计师沟通。</w:t>
      </w:r>
    </w:p>
    <w:p w:rsidR="004F4AA1" w:rsidRDefault="00EF4052">
      <w:pPr>
        <w:pStyle w:val="2"/>
        <w:spacing w:before="0" w:line="360" w:lineRule="auto"/>
        <w:ind w:firstLineChars="200" w:firstLine="643"/>
        <w:rPr>
          <w:rFonts w:ascii="Times New Roman" w:eastAsia="楷体_GB2312" w:hAnsi="Times New Roman" w:cs="Times New Roman"/>
          <w:b w:val="0"/>
          <w:sz w:val="32"/>
          <w:szCs w:val="32"/>
        </w:rPr>
      </w:pPr>
      <w:r>
        <w:rPr>
          <w:rFonts w:ascii="Times New Roman" w:eastAsia="楷体_GB2312" w:hAnsi="Times New Roman" w:cs="Times New Roman" w:hint="eastAsia"/>
          <w:sz w:val="32"/>
          <w:szCs w:val="32"/>
        </w:rPr>
        <w:t>（二）银行询证函（格式一）适用说明</w:t>
      </w:r>
    </w:p>
    <w:p w:rsidR="004F4AA1" w:rsidRDefault="00EF4052">
      <w:pPr>
        <w:spacing w:after="0" w:line="360" w:lineRule="auto"/>
        <w:ind w:firstLineChars="200" w:firstLine="640"/>
        <w:jc w:val="both"/>
        <w:rPr>
          <w:rFonts w:ascii="Times New Roman" w:eastAsia="楷体" w:hAnsi="Times New Roman" w:cs="Times New Roman"/>
          <w:b/>
          <w:sz w:val="32"/>
          <w:szCs w:val="32"/>
        </w:rPr>
      </w:pPr>
      <w:r>
        <w:rPr>
          <w:rFonts w:ascii="宋体" w:eastAsia="宋体" w:hAnsi="宋体" w:cs="宋体" w:hint="eastAsia"/>
          <w:sz w:val="32"/>
          <w:szCs w:val="32"/>
        </w:rPr>
        <w:lastRenderedPageBreak/>
        <w:t>1</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注册会计师可根据被审计单位的具体情况以及审计的需要，确定银行</w:t>
      </w:r>
      <w:r>
        <w:rPr>
          <w:rFonts w:ascii="Times New Roman" w:eastAsia="仿宋_GB2312" w:hAnsi="Times New Roman" w:cs="Times New Roman" w:hint="eastAsia"/>
          <w:sz w:val="32"/>
          <w:szCs w:val="32"/>
        </w:rPr>
        <w:t>询证函所列第</w:t>
      </w:r>
      <w:r>
        <w:rPr>
          <w:rFonts w:ascii="宋体" w:eastAsia="宋体" w:hAnsi="宋体" w:cs="宋体" w:hint="eastAsia"/>
          <w:sz w:val="32"/>
          <w:szCs w:val="32"/>
        </w:rPr>
        <w:t>1-14</w:t>
      </w:r>
      <w:r>
        <w:rPr>
          <w:rFonts w:ascii="Times New Roman" w:eastAsia="仿宋_GB2312" w:hAnsi="Times New Roman" w:cs="Times New Roman"/>
          <w:sz w:val="32"/>
          <w:szCs w:val="32"/>
        </w:rPr>
        <w:t>项及附表中</w:t>
      </w:r>
      <w:r>
        <w:rPr>
          <w:rFonts w:ascii="Times New Roman" w:eastAsia="仿宋_GB2312" w:hAnsi="Times New Roman" w:cs="Times New Roman" w:hint="eastAsia"/>
          <w:sz w:val="32"/>
          <w:szCs w:val="32"/>
        </w:rPr>
        <w:t>需要函证的项目。对于注册会计师确定无需函证的项目或具体栏位，应当将该项目或具体栏位的表格用斜线划掉。对于注册会计师用斜线划掉的项目或栏位，银行业金融机构无需核实相关信息且不需要反馈。</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第</w:t>
      </w:r>
      <w:r>
        <w:rPr>
          <w:rFonts w:ascii="宋体" w:eastAsia="宋体" w:hAnsi="宋体" w:cs="宋体" w:hint="eastAsia"/>
          <w:sz w:val="32"/>
          <w:szCs w:val="32"/>
        </w:rPr>
        <w:t>1-14</w:t>
      </w:r>
      <w:r>
        <w:rPr>
          <w:rFonts w:ascii="Times New Roman" w:eastAsia="仿宋_GB2312" w:hAnsi="Times New Roman" w:cs="Times New Roman" w:hint="eastAsia"/>
          <w:sz w:val="32"/>
          <w:szCs w:val="32"/>
        </w:rPr>
        <w:t>项及附表中，如果被审计单位的文件记录或管理层提供的信息中显示其与银行业金融机构之间没有此等交易或余额，但注册会计师认为需要就此获得银行业金融机构确认时，注册会计师应在每个对应栏目内填写“无”，银行业金融机构应当对填写“无”的信息予以核实并反馈。如银行业金融机构发现被审计单位存在交易或余额，而相关项目被列示为“无”，应明确回复不符并在回函“结论”处，向注册会计师对不符项目涉及的内容、金额等进行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注册会计师应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对银行</w:t>
      </w:r>
      <w:r>
        <w:rPr>
          <w:rFonts w:ascii="Times New Roman" w:eastAsia="仿宋_GB2312" w:hAnsi="Times New Roman" w:cs="Times New Roman" w:hint="eastAsia"/>
          <w:sz w:val="32"/>
          <w:szCs w:val="32"/>
        </w:rPr>
        <w:t>询证函中列示的</w:t>
      </w:r>
      <w:r>
        <w:rPr>
          <w:rFonts w:ascii="宋体" w:eastAsia="宋体" w:hAnsi="宋体" w:cs="宋体" w:hint="eastAsia"/>
          <w:sz w:val="32"/>
          <w:szCs w:val="32"/>
        </w:rPr>
        <w:t>1-14</w:t>
      </w:r>
      <w:r>
        <w:rPr>
          <w:rFonts w:ascii="Times New Roman" w:eastAsia="仿宋_GB2312" w:hAnsi="Times New Roman" w:cs="Times New Roman"/>
          <w:sz w:val="32"/>
          <w:szCs w:val="32"/>
        </w:rPr>
        <w:t>项信息及附表按照实际情况及</w:t>
      </w:r>
      <w:r>
        <w:rPr>
          <w:rFonts w:ascii="Times New Roman" w:eastAsia="仿宋_GB2312" w:hAnsi="Times New Roman" w:cs="Times New Roman" w:hint="eastAsia"/>
          <w:sz w:val="32"/>
          <w:szCs w:val="32"/>
        </w:rPr>
        <w:t>上述第</w:t>
      </w:r>
      <w:r>
        <w:rPr>
          <w:rFonts w:ascii="宋体" w:eastAsia="宋体" w:hAnsi="宋体" w:cs="宋体" w:hint="eastAsia"/>
          <w:sz w:val="32"/>
          <w:szCs w:val="32"/>
        </w:rPr>
        <w:t>1</w:t>
      </w:r>
      <w:r>
        <w:rPr>
          <w:rFonts w:ascii="Times New Roman" w:eastAsia="仿宋_GB2312" w:hAnsi="Times New Roman" w:cs="Times New Roman" w:hint="eastAsia"/>
          <w:sz w:val="32"/>
          <w:szCs w:val="32"/>
        </w:rPr>
        <w:t>条和第</w:t>
      </w:r>
      <w:r>
        <w:rPr>
          <w:rFonts w:ascii="宋体" w:eastAsia="宋体" w:hAnsi="宋体" w:cs="宋体" w:hint="eastAsia"/>
          <w:sz w:val="32"/>
          <w:szCs w:val="32"/>
        </w:rPr>
        <w:t>2</w:t>
      </w:r>
      <w:r>
        <w:rPr>
          <w:rFonts w:ascii="Times New Roman" w:eastAsia="仿宋_GB2312" w:hAnsi="Times New Roman" w:cs="Times New Roman" w:hint="eastAsia"/>
          <w:sz w:val="32"/>
          <w:szCs w:val="32"/>
        </w:rPr>
        <w:t>条的要求填写相应信息，不应留白；如银行业金融机构收到存在空白内容的询证函，应通知注册会计师进行修改后重新发送；针对“</w:t>
      </w:r>
      <w:r>
        <w:rPr>
          <w:rFonts w:ascii="Times New Roman" w:eastAsia="仿宋_GB2312" w:hAnsi="Times New Roman" w:cs="Times New Roman"/>
          <w:sz w:val="32"/>
          <w:szCs w:val="32"/>
        </w:rPr>
        <w:t>备注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栏，如不存在按照本指引无需在其中列示说明</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信息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也不存在注册会计师或被审计单位认为需要备注说明的信息，则应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填</w:t>
      </w:r>
      <w:r>
        <w:rPr>
          <w:rFonts w:ascii="Times New Roman" w:eastAsia="仿宋_GB2312" w:hAnsi="Times New Roman" w:cs="Times New Roman" w:hint="eastAsia"/>
          <w:sz w:val="32"/>
          <w:szCs w:val="32"/>
        </w:rPr>
        <w:t>写“</w:t>
      </w:r>
      <w:r>
        <w:rPr>
          <w:rFonts w:ascii="Times New Roman" w:eastAsia="仿宋_GB2312" w:hAnsi="Times New Roman" w:cs="Times New Roman"/>
          <w:sz w:val="32"/>
          <w:szCs w:val="32"/>
        </w:rPr>
        <w:t>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4</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银行询证函所列示的</w:t>
      </w:r>
      <w:r>
        <w:rPr>
          <w:rFonts w:ascii="宋体" w:eastAsia="宋体" w:hAnsi="宋体" w:cs="宋体" w:hint="eastAsia"/>
          <w:sz w:val="32"/>
          <w:szCs w:val="32"/>
        </w:rPr>
        <w:t>1-14</w:t>
      </w:r>
      <w:r>
        <w:rPr>
          <w:rFonts w:ascii="Times New Roman" w:eastAsia="仿宋_GB2312" w:hAnsi="Times New Roman" w:cs="Times New Roman" w:hint="eastAsia"/>
          <w:sz w:val="32"/>
          <w:szCs w:val="32"/>
        </w:rPr>
        <w:t>项及附表信息应当按照银行询证函收件人（银行业金融机构），即询证函格式中定义的“贵行”所代表的总分支机构主体范围进行回函，注册会计师可以根据实际情况进行修改或说明。如经银行业金融机构核对，存在不符之处，银行业金融机构应当于“经本行核对，存在以下不符之处”栏中写明“询证函信息存在不符”并在栏中填写相关不符信息或另附附件进一步提供具体的不符信息内容，不应将不符信息内容填写在银行询证函</w:t>
      </w:r>
      <w:r>
        <w:rPr>
          <w:rFonts w:ascii="宋体" w:eastAsia="宋体" w:hAnsi="宋体" w:cs="宋体" w:hint="eastAsia"/>
          <w:sz w:val="32"/>
          <w:szCs w:val="32"/>
        </w:rPr>
        <w:t>1-14</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及附表</w:t>
      </w:r>
      <w:r>
        <w:rPr>
          <w:rFonts w:ascii="Times New Roman" w:eastAsia="仿宋_GB2312" w:hAnsi="Times New Roman" w:cs="Times New Roman"/>
          <w:sz w:val="32"/>
          <w:szCs w:val="32"/>
        </w:rPr>
        <w:t>信息中。同时，</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存在不符之处时，银行业金融机构应</w:t>
      </w:r>
      <w:r>
        <w:rPr>
          <w:rFonts w:ascii="Times New Roman" w:eastAsia="仿宋_GB2312" w:hAnsi="Times New Roman" w:cs="Times New Roman" w:hint="eastAsia"/>
          <w:sz w:val="32"/>
          <w:szCs w:val="32"/>
        </w:rPr>
        <w:t>当直接在银行询证函结论处填写不符之处相关的具体信息，而不应要求注册会计师按照相符信息重新填写后再次发函。对于银行业金融机构以自有格式询证函回复的情况，按照下述第</w:t>
      </w:r>
      <w:r>
        <w:rPr>
          <w:rFonts w:ascii="宋体" w:eastAsia="宋体" w:hAnsi="宋体" w:cs="宋体" w:hint="eastAsia"/>
          <w:sz w:val="32"/>
          <w:szCs w:val="32"/>
        </w:rPr>
        <w:t>5</w:t>
      </w:r>
      <w:r>
        <w:rPr>
          <w:rFonts w:ascii="Times New Roman" w:eastAsia="仿宋_GB2312" w:hAnsi="Times New Roman" w:cs="Times New Roman"/>
          <w:sz w:val="32"/>
          <w:szCs w:val="32"/>
        </w:rPr>
        <w:t>条执行。</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5</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银行业金融机构如选择采用本机构系统自动生成的与银行询证函内容相关的报告或其他形式的银行业金融机构自有格式回函，或以数字函证方式进行回复的，应当对银行询证函所列示的</w:t>
      </w:r>
      <w:r>
        <w:rPr>
          <w:rFonts w:ascii="宋体" w:eastAsia="宋体" w:hAnsi="宋体" w:cs="宋体" w:hint="eastAsia"/>
          <w:sz w:val="32"/>
          <w:szCs w:val="32"/>
        </w:rPr>
        <w:t>1-14</w:t>
      </w:r>
      <w:r>
        <w:rPr>
          <w:rFonts w:ascii="Times New Roman" w:eastAsia="仿宋_GB2312" w:hAnsi="Times New Roman" w:cs="Times New Roman" w:hint="eastAsia"/>
          <w:sz w:val="32"/>
          <w:szCs w:val="32"/>
        </w:rPr>
        <w:t>项及附表涉及的全部信息作出回应，银行询证函内无需函证项目（即被注册会计师用斜线划掉的项目）除外。</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6.</w:t>
      </w:r>
      <w:r>
        <w:rPr>
          <w:rFonts w:ascii="Times New Roman" w:eastAsia="仿宋_GB2312" w:hAnsi="Times New Roman" w:cs="Times New Roman"/>
          <w:sz w:val="32"/>
          <w:szCs w:val="32"/>
        </w:rPr>
        <w:t>如果采用纸质银行</w:t>
      </w:r>
      <w:r>
        <w:rPr>
          <w:rFonts w:ascii="Times New Roman" w:eastAsia="仿宋_GB2312" w:hAnsi="Times New Roman" w:cs="Times New Roman" w:hint="eastAsia"/>
          <w:sz w:val="32"/>
          <w:szCs w:val="32"/>
        </w:rPr>
        <w:t>询证函进行函证，银行询证函应当由被审计单位加盖骑缝章，建议将被审计单位预留银行签章</w:t>
      </w:r>
      <w:r>
        <w:rPr>
          <w:rFonts w:ascii="Times New Roman" w:eastAsia="仿宋_GB2312" w:hAnsi="Times New Roman" w:cs="Times New Roman" w:hint="eastAsia"/>
          <w:sz w:val="32"/>
          <w:szCs w:val="32"/>
        </w:rPr>
        <w:lastRenderedPageBreak/>
        <w:t>处加盖的签章用作骑缝章。如果采用数字函证方式，则不做强制要求。</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7.</w:t>
      </w:r>
      <w:r>
        <w:rPr>
          <w:rFonts w:ascii="Times New Roman" w:eastAsia="仿宋_GB2312" w:hAnsi="Times New Roman" w:cs="Times New Roman" w:hint="eastAsia"/>
          <w:sz w:val="32"/>
          <w:szCs w:val="32"/>
        </w:rPr>
        <w:t>对于按照银行业金融机构受理要求进行的现场函证（</w:t>
      </w:r>
      <w:r>
        <w:rPr>
          <w:rFonts w:ascii="Times New Roman" w:eastAsia="仿宋_GB2312" w:hAnsi="Times New Roman" w:cs="Times New Roman"/>
          <w:sz w:val="32"/>
          <w:szCs w:val="32"/>
        </w:rPr>
        <w:t>跟函</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，银行业金融机构可</w:t>
      </w: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现场办理后直接交付给会计师事务所经办人员，或在办理后直接邮寄至银行</w:t>
      </w:r>
      <w:r>
        <w:rPr>
          <w:rFonts w:ascii="Times New Roman" w:eastAsia="仿宋_GB2312" w:hAnsi="Times New Roman" w:cs="Times New Roman" w:hint="eastAsia"/>
          <w:sz w:val="32"/>
          <w:szCs w:val="32"/>
        </w:rPr>
        <w:t>询证函中指定的会计师事务所收件人。</w:t>
      </w:r>
    </w:p>
    <w:p w:rsidR="004F4AA1" w:rsidRDefault="00EF4052">
      <w:pPr>
        <w:spacing w:after="0" w:line="360" w:lineRule="auto"/>
        <w:ind w:firstLineChars="200" w:firstLine="640"/>
        <w:jc w:val="both"/>
        <w:rPr>
          <w:rFonts w:ascii="Times New Roman" w:hAnsi="Times New Roman" w:cs="Times New Roman"/>
          <w:sz w:val="32"/>
          <w:szCs w:val="32"/>
        </w:rPr>
      </w:pPr>
      <w:r>
        <w:rPr>
          <w:rFonts w:ascii="宋体" w:eastAsia="宋体" w:hAnsi="宋体" w:cs="宋体" w:hint="eastAsia"/>
          <w:sz w:val="32"/>
          <w:szCs w:val="32"/>
        </w:rPr>
        <w:t>8.</w:t>
      </w:r>
      <w:r>
        <w:rPr>
          <w:rFonts w:ascii="Times New Roman" w:eastAsia="仿宋_GB2312" w:hAnsi="Times New Roman" w:cs="Times New Roman" w:hint="eastAsia"/>
          <w:sz w:val="32"/>
          <w:szCs w:val="32"/>
        </w:rPr>
        <w:t>如果银行询证函中的银行填列部分空白处不足，银行业金融机构可另行添加附页列示相关信息，并在附页上签字和盖章或签发电子签名。</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（三）银行询证函（格式二）适用说明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sz w:val="32"/>
          <w:szCs w:val="32"/>
        </w:rPr>
        <w:t>银行业金融机构如选择不在银行</w:t>
      </w:r>
      <w:r>
        <w:rPr>
          <w:rFonts w:ascii="Times New Roman" w:eastAsia="仿宋_GB2312" w:hAnsi="Times New Roman" w:cs="Times New Roman" w:hint="eastAsia"/>
          <w:sz w:val="32"/>
          <w:szCs w:val="32"/>
        </w:rPr>
        <w:t>询证函原件上回复而采用本机构系统自动生成的与银行询证函内容相关的报告或其他形式的银行业金融机构自有格式询证函，或者数字函证方式进行回复的，应当对银行询证函列示的全部项目作出回复，注册会计师明确无需函证的项目除外（参照格式一所述方式予以明确）。</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sz w:val="32"/>
          <w:szCs w:val="32"/>
        </w:rPr>
        <w:t>如果采用纸质银行</w:t>
      </w:r>
      <w:r>
        <w:rPr>
          <w:rFonts w:ascii="Times New Roman" w:eastAsia="仿宋_GB2312" w:hAnsi="Times New Roman" w:cs="Times New Roman" w:hint="eastAsia"/>
          <w:sz w:val="32"/>
          <w:szCs w:val="32"/>
        </w:rPr>
        <w:t>询证函进行函证，银行询证函应当由被审计单位加盖骑缝章，建议将被审计单位预留银行签章处加盖的签章用作骑缝章。如果采用数字函证方式，则不做强制要求。</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3.</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果银行询证函中的空白处不足，银行业金融机构可另行添加附页列示相关信息，并在附页上签字和盖章或签发电子签名。</w:t>
      </w:r>
    </w:p>
    <w:p w:rsidR="004F4AA1" w:rsidRDefault="00EF4052">
      <w:pPr>
        <w:pStyle w:val="2"/>
        <w:spacing w:before="0" w:line="360" w:lineRule="auto"/>
        <w:ind w:firstLineChars="200" w:firstLine="643"/>
        <w:rPr>
          <w:rFonts w:ascii="Times New Roman" w:hAnsi="Times New Roman" w:cs="Times New Roman"/>
        </w:rPr>
      </w:pPr>
      <w:r>
        <w:rPr>
          <w:rFonts w:ascii="Times New Roman" w:eastAsia="楷体_GB2312" w:hAnsi="Times New Roman" w:cs="Times New Roman" w:hint="eastAsia"/>
          <w:sz w:val="32"/>
          <w:szCs w:val="32"/>
        </w:rPr>
        <w:t>（四）验资业务银行询证函适用说明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如果截至回函日出资已经被转出或未明确标明资金用途，银行可以仅针对资金到位情况回函，同时增加“未写明款项用途”或“××月××日××时后已转出××元”等说明，但应根据实际情况予以回函。</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此类询证函（包括回函）中所列信息应严格保密，仅用于注册会计师执行验资业务目的。</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sz w:val="32"/>
          <w:szCs w:val="32"/>
        </w:rPr>
        <w:t>如果采用纸质银行</w:t>
      </w:r>
      <w:r>
        <w:rPr>
          <w:rFonts w:ascii="Times New Roman" w:eastAsia="仿宋_GB2312" w:hAnsi="Times New Roman" w:cs="Times New Roman" w:hint="eastAsia"/>
          <w:sz w:val="32"/>
          <w:szCs w:val="32"/>
        </w:rPr>
        <w:t>询证函进行函证，银行询证函应当由被审计单位加盖骑缝章，建议将被审计单位预留银行签章处加盖的签章用作骑缝章。如果采用数字函证方式，则不做强制要求。</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sz w:val="32"/>
          <w:szCs w:val="32"/>
        </w:rPr>
        <w:t>如果银行</w:t>
      </w:r>
      <w:r>
        <w:rPr>
          <w:rFonts w:ascii="Times New Roman" w:eastAsia="仿宋_GB2312" w:hAnsi="Times New Roman" w:cs="Times New Roman" w:hint="eastAsia"/>
          <w:sz w:val="32"/>
          <w:szCs w:val="32"/>
        </w:rPr>
        <w:t>询证函中的空白处不足，银行业金融机构可另行添加附页列示相关信息，并在附页上签字和盖章或签发电子签名。</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4.</w:t>
      </w:r>
      <w:r>
        <w:rPr>
          <w:rFonts w:ascii="Times New Roman" w:eastAsia="仿宋_GB2312" w:hAnsi="Times New Roman" w:cs="Times New Roman"/>
          <w:sz w:val="32"/>
          <w:szCs w:val="32"/>
        </w:rPr>
        <w:t>针对特殊情况下的验资需求（例如首次公开发行募集资金转入承销商账户时对承销商账户到账资金的资金验证业务），注册会计师可以根据实际情况修改验资业务银行</w:t>
      </w:r>
      <w:r>
        <w:rPr>
          <w:rFonts w:ascii="Times New Roman" w:eastAsia="仿宋_GB2312" w:hAnsi="Times New Roman" w:cs="Times New Roman" w:hint="eastAsia"/>
          <w:sz w:val="32"/>
          <w:szCs w:val="32"/>
        </w:rPr>
        <w:t>询证函的函证理由及内容，银行业金融机构应当根据实际情况予以回函。</w:t>
      </w:r>
    </w:p>
    <w:p w:rsidR="004F4AA1" w:rsidRDefault="00EF4052">
      <w:pPr>
        <w:pStyle w:val="1"/>
        <w:spacing w:before="0" w:line="360" w:lineRule="auto"/>
        <w:ind w:firstLineChars="200" w:firstLine="640"/>
        <w:rPr>
          <w:rFonts w:ascii="Times New Roman" w:eastAsia="黑体" w:hAnsi="Times New Roman" w:cs="Times New Roman"/>
          <w:b w:val="0"/>
          <w:sz w:val="32"/>
          <w:szCs w:val="32"/>
        </w:rPr>
      </w:pPr>
      <w:r>
        <w:rPr>
          <w:rFonts w:ascii="Times New Roman" w:eastAsia="黑体" w:hAnsi="Times New Roman" w:cs="Times New Roman" w:hint="eastAsia"/>
          <w:b w:val="0"/>
          <w:sz w:val="32"/>
          <w:szCs w:val="32"/>
        </w:rPr>
        <w:lastRenderedPageBreak/>
        <w:t>三、银行询证函项目填写说明</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本说明的主要目的是，就附</w:t>
      </w:r>
      <w:r>
        <w:rPr>
          <w:rFonts w:eastAsia="宋体" w:hAnsi="宋体" w:cs="宋体" w:hint="eastAsia"/>
          <w:sz w:val="32"/>
          <w:szCs w:val="32"/>
        </w:rPr>
        <w:t>1-2</w:t>
      </w:r>
      <w:r>
        <w:rPr>
          <w:rFonts w:ascii="Times New Roman" w:eastAsia="仿宋_GB2312" w:hAnsi="Times New Roman" w:cs="Times New Roman" w:hint="eastAsia"/>
          <w:sz w:val="32"/>
          <w:szCs w:val="32"/>
        </w:rPr>
        <w:t>中提供的银行询证函标准格式的填写方法和取数口径作出进一步解释和说明，以帮助银行业金融机构在回函时更好地理解注册会计师的函证需求，提高回函质量。</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（一）银行存款</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函证项目的主要目的是确认公司于函证基准日存放于被函证银行业金融机构的银行存款的具体信息，包括利率、余额、是否存在使用受限情况等；银行业金融机构应当按照实际存款额确认各企业的银行存款余额（包括零余额账户）。</w:t>
      </w:r>
    </w:p>
    <w:p w:rsidR="004F4AA1" w:rsidRDefault="00EF4052">
      <w:pPr>
        <w:pStyle w:val="a3"/>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银行账号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w:t>
      </w:r>
      <w:r>
        <w:rPr>
          <w:rFonts w:ascii="Times New Roman" w:eastAsia="仿宋_GB2312" w:hAnsi="Times New Roman" w:cs="Times New Roman" w:hint="eastAsia"/>
          <w:sz w:val="32"/>
          <w:szCs w:val="32"/>
        </w:rPr>
        <w:t>当</w:t>
      </w:r>
      <w:r>
        <w:rPr>
          <w:rFonts w:ascii="Times New Roman" w:eastAsia="仿宋_GB2312" w:hAnsi="Times New Roman" w:cs="Times New Roman"/>
          <w:sz w:val="32"/>
          <w:szCs w:val="32"/>
        </w:rPr>
        <w:t>与银行对账单上显示的账号保持完全一致。</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账户类型</w:t>
      </w:r>
      <w:r>
        <w:rPr>
          <w:rFonts w:ascii="Times New Roman" w:eastAsia="仿宋_GB2312" w:hAnsi="Times New Roman" w:cs="Times New Roman" w:hint="eastAsia"/>
          <w:sz w:val="32"/>
          <w:szCs w:val="32"/>
        </w:rPr>
        <w:t>”包括人民币账户、外币账户和其他类型的账户。人民币账户应当按照《人民币银行结算账户管理办法》列明账户性质，如基本存款账户、一般存款账户、专用存款账户（如账户类型为专用存款账户，银行业金融机构可在“备注”栏注明账户性质或资金性质）、临时存款账户等；外币账户或其他类型账户的填写可适当参考银行业金融机构实际操作情况；在同一性质账户中如存在不同类型的存款产品，应当分别列示，如活期存款、定期存款等；银行业金融机构实际业务开展中的大额存款、通知存款、定期保证金存款、结构性存款（按照《中国银保监会办公厅关于进一步</w:t>
      </w:r>
      <w:r>
        <w:rPr>
          <w:rFonts w:ascii="Times New Roman" w:eastAsia="仿宋_GB2312" w:hAnsi="Times New Roman" w:cs="Times New Roman" w:hint="eastAsia"/>
          <w:sz w:val="32"/>
          <w:szCs w:val="32"/>
        </w:rPr>
        <w:lastRenderedPageBreak/>
        <w:t>规范商业银行结构性存款业务的通知》（银保监办发</w:t>
      </w:r>
      <w:r>
        <w:rPr>
          <w:rFonts w:eastAsia="宋体" w:hAnsi="宋体" w:cs="宋体" w:hint="eastAsia"/>
          <w:sz w:val="32"/>
          <w:szCs w:val="32"/>
        </w:rPr>
        <w:t>〔2019〕204</w:t>
      </w:r>
      <w:r>
        <w:rPr>
          <w:rFonts w:ascii="Times New Roman" w:eastAsia="仿宋_GB2312" w:hAnsi="Times New Roman" w:cs="Times New Roman"/>
          <w:sz w:val="32"/>
          <w:szCs w:val="32"/>
        </w:rPr>
        <w:t>号</w:t>
      </w:r>
      <w:r>
        <w:rPr>
          <w:rFonts w:ascii="Times New Roman" w:eastAsia="仿宋_GB2312" w:hAnsi="Times New Roman" w:cs="Times New Roman" w:hint="eastAsia"/>
          <w:sz w:val="32"/>
          <w:szCs w:val="32"/>
        </w:rPr>
        <w:t>）第四项要求“商业银行应当将结构性存款纳入表内核算，按照存款管理”</w:t>
      </w:r>
      <w:r>
        <w:rPr>
          <w:rFonts w:ascii="Times New Roman" w:eastAsia="仿宋_GB2312" w:hAnsi="Times New Roman" w:cs="Times New Roman"/>
          <w:sz w:val="32"/>
          <w:szCs w:val="32"/>
        </w:rPr>
        <w:t>）等存在固定到期日的存款产品，可以比照定期存款</w:t>
      </w:r>
      <w:r>
        <w:rPr>
          <w:rFonts w:ascii="Times New Roman" w:eastAsia="仿宋_GB2312" w:hAnsi="Times New Roman" w:cs="Times New Roman" w:hint="eastAsia"/>
          <w:sz w:val="32"/>
          <w:szCs w:val="32"/>
        </w:rPr>
        <w:t>填写。</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起始日期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终止日期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栏仅适用于约定期限的账户类型</w:t>
      </w:r>
      <w:r>
        <w:rPr>
          <w:rFonts w:ascii="Times New Roman" w:eastAsia="仿宋_GB2312" w:hAnsi="Times New Roman" w:cs="Times New Roman" w:hint="eastAsia"/>
          <w:sz w:val="32"/>
          <w:szCs w:val="32"/>
        </w:rPr>
        <w:t>。例</w:t>
      </w:r>
      <w:r>
        <w:rPr>
          <w:rFonts w:ascii="Times New Roman" w:eastAsia="仿宋_GB2312" w:hAnsi="Times New Roman" w:cs="Times New Roman"/>
          <w:sz w:val="32"/>
          <w:szCs w:val="32"/>
        </w:rPr>
        <w:t>如</w:t>
      </w:r>
      <w:r>
        <w:rPr>
          <w:rFonts w:ascii="Times New Roman" w:eastAsia="仿宋_GB2312" w:hAnsi="Times New Roman" w:cs="Times New Roman" w:hint="eastAsia"/>
          <w:sz w:val="32"/>
          <w:szCs w:val="32"/>
        </w:rPr>
        <w:t>，对于</w:t>
      </w:r>
      <w:r>
        <w:rPr>
          <w:rFonts w:ascii="Times New Roman" w:eastAsia="仿宋_GB2312" w:hAnsi="Times New Roman" w:cs="Times New Roman"/>
          <w:sz w:val="32"/>
          <w:szCs w:val="32"/>
        </w:rPr>
        <w:t>定期存款</w:t>
      </w:r>
      <w:r>
        <w:rPr>
          <w:rFonts w:ascii="Times New Roman" w:eastAsia="仿宋_GB2312" w:hAnsi="Times New Roman" w:cs="Times New Roman" w:hint="eastAsia"/>
          <w:sz w:val="32"/>
          <w:szCs w:val="32"/>
        </w:rPr>
        <w:t>、保证金存款</w:t>
      </w:r>
      <w:r>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存在约定期限的账户类型，应当填写“起始日期”和“终止日期”，并在“备注”中填写“定期”或“保证金”等字样；而对于活期存款，则不需要填写“起始日期”和“终止日期”，在“备注”中填写“活期”字样即可。</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仿宋_GB2312" w:eastAsia="仿宋_GB2312" w:hAnsi="仿宋_GB2312" w:cs="仿宋_GB2312"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利率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指函证基准日适用的年化利率，如</w:t>
      </w:r>
      <w:r>
        <w:rPr>
          <w:rFonts w:ascii="Times New Roman" w:eastAsia="仿宋_GB2312" w:hAnsi="Times New Roman" w:cs="Times New Roman" w:hint="eastAsia"/>
          <w:sz w:val="32"/>
          <w:szCs w:val="32"/>
        </w:rPr>
        <w:t>简单年化利率</w:t>
      </w:r>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请在“备注”栏对具体利率或条款进行说明，包括但不限于合同约定协议利率等；如为活期存款、通知存款、协定存款、结构性存款及其他利率浮动型存款等，应逐笔填写函证基准日适用的执行利率，如内容复杂或函证时点间隔期间较长，填写存在困难的，“利率”栏可以填写“参见备注”并同时在“备注”栏对银行业金融机构与公司就浮动利率的具体约定内容或条款进行说明。银行业金融机构核对该项目时，应当就“备注”栏说明信息进行核对。</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是否存在冻结、担保或其他使用限制</w:t>
      </w:r>
      <w:r>
        <w:rPr>
          <w:rFonts w:ascii="Times New Roman" w:eastAsia="仿宋_GB2312" w:hAnsi="Times New Roman" w:cs="Times New Roman" w:hint="eastAsia"/>
          <w:sz w:val="32"/>
          <w:szCs w:val="32"/>
        </w:rPr>
        <w:t>”应当分别填写被冻结、担保及账户使用受限等情况，如相关账户仅部分金额使用受限，请注明</w:t>
      </w:r>
      <w:r>
        <w:rPr>
          <w:rFonts w:ascii="Times New Roman" w:eastAsia="仿宋_GB2312" w:hAnsi="Times New Roman" w:cs="Times New Roman"/>
          <w:sz w:val="32"/>
          <w:szCs w:val="32"/>
        </w:rPr>
        <w:t>截至函证基准日受限部分金额。其他</w:t>
      </w:r>
      <w:r>
        <w:rPr>
          <w:rFonts w:ascii="Times New Roman" w:eastAsia="仿宋_GB2312" w:hAnsi="Times New Roman" w:cs="Times New Roman"/>
          <w:sz w:val="32"/>
          <w:szCs w:val="32"/>
        </w:rPr>
        <w:lastRenderedPageBreak/>
        <w:t>使用限制主要包括但不限于因反洗钱或案件触发的控制等外部限制以及由于</w:t>
      </w:r>
      <w:r>
        <w:rPr>
          <w:rFonts w:ascii="Times New Roman" w:eastAsia="仿宋_GB2312" w:hAnsi="Times New Roman" w:cs="Times New Roman" w:hint="eastAsia"/>
          <w:sz w:val="32"/>
          <w:szCs w:val="32"/>
        </w:rPr>
        <w:t>公司</w:t>
      </w:r>
      <w:r>
        <w:rPr>
          <w:rFonts w:ascii="Times New Roman" w:eastAsia="仿宋_GB2312" w:hAnsi="Times New Roman" w:cs="Times New Roman"/>
          <w:sz w:val="32"/>
          <w:szCs w:val="32"/>
        </w:rPr>
        <w:t>自身行为导致的银行存款账户资金无法随意支取、使用等情况，</w:t>
      </w:r>
      <w:r>
        <w:rPr>
          <w:rFonts w:ascii="Times New Roman" w:eastAsia="仿宋_GB2312" w:hAnsi="Times New Roman" w:cs="Times New Roman" w:hint="eastAsia"/>
          <w:sz w:val="32"/>
          <w:szCs w:val="32"/>
        </w:rPr>
        <w:t>除上述以外其他原因</w:t>
      </w:r>
      <w:r>
        <w:rPr>
          <w:rFonts w:ascii="Times New Roman" w:eastAsia="仿宋_GB2312" w:hAnsi="Times New Roman" w:cs="Times New Roman"/>
          <w:sz w:val="32"/>
          <w:szCs w:val="32"/>
        </w:rPr>
        <w:t>导致银行与</w:t>
      </w:r>
      <w:r>
        <w:rPr>
          <w:rFonts w:ascii="Times New Roman" w:eastAsia="仿宋_GB2312" w:hAnsi="Times New Roman" w:cs="Times New Roman" w:hint="eastAsia"/>
          <w:sz w:val="32"/>
          <w:szCs w:val="32"/>
        </w:rPr>
        <w:t>公司</w:t>
      </w:r>
      <w:r>
        <w:rPr>
          <w:rFonts w:ascii="Times New Roman" w:eastAsia="仿宋_GB2312" w:hAnsi="Times New Roman" w:cs="Times New Roman"/>
          <w:sz w:val="32"/>
          <w:szCs w:val="32"/>
        </w:rPr>
        <w:t>正常设立的资金托管账户、资金监管账户存在使用限制的，不属于</w:t>
      </w:r>
      <w:r>
        <w:rPr>
          <w:rFonts w:ascii="Times New Roman" w:eastAsia="仿宋_GB2312" w:hAnsi="Times New Roman" w:cs="Times New Roman" w:hint="eastAsia"/>
          <w:sz w:val="32"/>
          <w:szCs w:val="32"/>
        </w:rPr>
        <w:t>本项目“其他使用限制”</w:t>
      </w:r>
      <w:r>
        <w:rPr>
          <w:rFonts w:ascii="Times New Roman" w:eastAsia="仿宋_GB2312" w:hAnsi="Times New Roman" w:cs="Times New Roman"/>
          <w:sz w:val="32"/>
          <w:szCs w:val="32"/>
        </w:rPr>
        <w:t>的情况；同时，若冻结事项存在法律法规上的保密要求，建议银行业金融机构仅就被冻结的事实向注册会计师回复。</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6.</w:t>
      </w:r>
      <w:r>
        <w:rPr>
          <w:rFonts w:ascii="Times New Roman" w:eastAsia="仿宋_GB2312" w:hAnsi="Times New Roman" w:cs="Times New Roman"/>
          <w:sz w:val="32"/>
          <w:szCs w:val="32"/>
        </w:rPr>
        <w:t>针对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是否属于资金归集（资金池或其他资金管理）账户</w:t>
      </w:r>
      <w:r>
        <w:rPr>
          <w:rFonts w:ascii="Times New Roman" w:eastAsia="仿宋_GB2312" w:hAnsi="Times New Roman" w:cs="Times New Roman" w:hint="eastAsia"/>
          <w:sz w:val="32"/>
          <w:szCs w:val="32"/>
        </w:rPr>
        <w:t>”项目：资金归集业务，是指商业银行和其他金融机构为客户建立的用于资金集中管理的账户架构，用于根据客户需求进行各账户间资金归集、余额调剂、资金计价、资金清算的现金管理产品。该业务涉及的事项有客户成员企业账户余额上划、成员企业之间透支、主动拨付与收款、成员企业之间委托借贷，以及成员企业向集团总部的上存、下借分别计息等。开展该业务的客户一般为采用总分公司结构的统一法人客户和采用母子公司形式的集团客户（但不排除其他形式的灵活协议安排）。该业务通常按照资金归集方与资金被归集方事先设定的条件或调拨指令在不同账户间进行资金归集和调拨。</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不同</w:t>
      </w:r>
      <w:r>
        <w:rPr>
          <w:rFonts w:ascii="Times New Roman" w:eastAsia="仿宋_GB2312" w:hAnsi="Times New Roman" w:cs="Times New Roman" w:hint="eastAsia"/>
          <w:sz w:val="32"/>
          <w:szCs w:val="32"/>
        </w:rPr>
        <w:t>银行业金融机构</w:t>
      </w:r>
      <w:r>
        <w:rPr>
          <w:rFonts w:ascii="Times New Roman" w:eastAsia="仿宋_GB2312" w:hAnsi="Times New Roman" w:cs="Times New Roman"/>
          <w:sz w:val="32"/>
          <w:szCs w:val="32"/>
        </w:rPr>
        <w:t>对资金归集业务</w:t>
      </w:r>
      <w:r>
        <w:rPr>
          <w:rFonts w:ascii="Times New Roman" w:eastAsia="仿宋_GB2312" w:hAnsi="Times New Roman" w:cs="Times New Roman" w:hint="eastAsia"/>
          <w:sz w:val="32"/>
          <w:szCs w:val="32"/>
        </w:rPr>
        <w:t>可能</w:t>
      </w:r>
      <w:r>
        <w:rPr>
          <w:rFonts w:ascii="Times New Roman" w:eastAsia="仿宋_GB2312" w:hAnsi="Times New Roman" w:cs="Times New Roman"/>
          <w:sz w:val="32"/>
          <w:szCs w:val="32"/>
        </w:rPr>
        <w:t>有不同的表述，应当以被审计单位与银行</w:t>
      </w:r>
      <w:r>
        <w:rPr>
          <w:rFonts w:ascii="Times New Roman" w:eastAsia="仿宋_GB2312" w:hAnsi="Times New Roman" w:cs="Times New Roman" w:hint="eastAsia"/>
          <w:sz w:val="32"/>
          <w:szCs w:val="32"/>
        </w:rPr>
        <w:t>业</w:t>
      </w:r>
      <w:r>
        <w:rPr>
          <w:rFonts w:ascii="Times New Roman" w:eastAsia="仿宋_GB2312" w:hAnsi="Times New Roman" w:cs="Times New Roman"/>
          <w:sz w:val="32"/>
          <w:szCs w:val="32"/>
        </w:rPr>
        <w:t>金融机构签署的正式协议约定为依据。</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业务开展过程中，不同</w:t>
      </w:r>
      <w:r>
        <w:rPr>
          <w:rFonts w:ascii="Times New Roman" w:eastAsia="仿宋_GB2312" w:hAnsi="Times New Roman" w:cs="Times New Roman" w:hint="eastAsia"/>
          <w:sz w:val="32"/>
          <w:szCs w:val="32"/>
        </w:rPr>
        <w:t>银行业金融机构</w:t>
      </w:r>
      <w:r>
        <w:rPr>
          <w:rFonts w:ascii="Times New Roman" w:eastAsia="仿宋_GB2312" w:hAnsi="Times New Roman" w:cs="Times New Roman"/>
          <w:sz w:val="32"/>
          <w:szCs w:val="32"/>
        </w:rPr>
        <w:t>对资金</w:t>
      </w:r>
      <w:r>
        <w:rPr>
          <w:rFonts w:ascii="Times New Roman" w:eastAsia="仿宋_GB2312" w:hAnsi="Times New Roman" w:cs="Times New Roman"/>
          <w:sz w:val="32"/>
          <w:szCs w:val="32"/>
        </w:rPr>
        <w:lastRenderedPageBreak/>
        <w:t>池业务的业务名称、账户余额、网银内该项业务的展示及生成报表形式、</w:t>
      </w:r>
      <w:r>
        <w:rPr>
          <w:rFonts w:ascii="Times New Roman" w:eastAsia="仿宋_GB2312" w:hAnsi="Times New Roman" w:cs="Times New Roman" w:hint="eastAsia"/>
          <w:sz w:val="32"/>
          <w:szCs w:val="32"/>
        </w:rPr>
        <w:t>银行业金融机构</w:t>
      </w:r>
      <w:r>
        <w:rPr>
          <w:rFonts w:ascii="Times New Roman" w:eastAsia="仿宋_GB2312" w:hAnsi="Times New Roman" w:cs="Times New Roman"/>
          <w:sz w:val="32"/>
          <w:szCs w:val="32"/>
        </w:rPr>
        <w:t>对该项业务的管理层级等方面均可能存在不同的表述和方式。就业务名称而言，一般将此业务称为账户资金归集业务、资金集中业务、现金管理业务、联动账户业务等；就账户余额而言，一般均存在两类账户余额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账户的实际余额和自身余额。账户实际余额即账户在某个时点真实存在的存款余额，包含该时点已经拨入该账户的资金金额，不包含该时点已经拨出该账户的资金金额。账户自身余额，往往也称为应计余额（或可用余额），即根据该项业务协议约定，该账户可以调拨使用的资金余额。</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此栏如适用，即填写为“是”时</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需</w:t>
      </w:r>
      <w:r>
        <w:rPr>
          <w:rFonts w:ascii="Times New Roman" w:eastAsia="仿宋_GB2312" w:hAnsi="Times New Roman" w:cs="Times New Roman" w:hint="eastAsia"/>
          <w:sz w:val="32"/>
          <w:szCs w:val="32"/>
        </w:rPr>
        <w:t>要注意以下事项：</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heme="minorEastAsia" w:hAnsiTheme="minorEastAsia" w:cstheme="minorEastAsia" w:hint="eastAsia"/>
          <w:sz w:val="32"/>
          <w:szCs w:val="32"/>
        </w:rPr>
        <w:t>（1）</w:t>
      </w:r>
      <w:r>
        <w:rPr>
          <w:rFonts w:ascii="Times New Roman" w:eastAsia="仿宋_GB2312" w:hAnsi="Times New Roman" w:cs="Times New Roman" w:hint="eastAsia"/>
          <w:sz w:val="32"/>
          <w:szCs w:val="32"/>
        </w:rPr>
        <w:t>“账户余额”栏应填写公司账面上截至函证基准日实际存在的余额，即实际余额，已实际划出的资金（如已上存集团归集账户的金额）则不应包括在内。</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heme="minorEastAsia" w:hAnsiTheme="minorEastAsia" w:cstheme="minorEastAsia" w:hint="eastAsia"/>
          <w:sz w:val="32"/>
          <w:szCs w:val="32"/>
        </w:rPr>
        <w:t>（2）</w:t>
      </w:r>
      <w:r>
        <w:rPr>
          <w:rFonts w:ascii="Times New Roman" w:eastAsia="仿宋_GB2312" w:hAnsi="Times New Roman" w:cs="Times New Roman" w:hint="eastAsia"/>
          <w:sz w:val="32"/>
          <w:szCs w:val="32"/>
        </w:rPr>
        <w:t>其他与资金池相关的进一步信息，例如已上下归集的金额等，需要时请在附表中进一步填写并由银行业金融机构进行确认。</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asciiTheme="minorEastAsia" w:hAnsiTheme="minorEastAsia" w:cstheme="minorEastAsia" w:hint="eastAsia"/>
          <w:sz w:val="32"/>
          <w:szCs w:val="32"/>
        </w:rPr>
        <w:t>（3）</w:t>
      </w:r>
      <w:r>
        <w:rPr>
          <w:rFonts w:ascii="Times New Roman" w:eastAsia="仿宋_GB2312" w:hAnsi="Times New Roman" w:cs="Times New Roman"/>
          <w:sz w:val="32"/>
          <w:szCs w:val="32"/>
        </w:rPr>
        <w:t>资金归集（资金池或其他资金管理）账户包括但不限于归集账户、被归集账户；账号不同的账户应当分别填写附表。</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7.</w:t>
      </w:r>
      <w:r>
        <w:rPr>
          <w:rFonts w:ascii="Times New Roman" w:eastAsia="仿宋_GB2312" w:hAnsi="Times New Roman" w:cs="Times New Roman"/>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（二）银行借款</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lastRenderedPageBreak/>
        <w:t>1.</w:t>
      </w:r>
      <w:r>
        <w:rPr>
          <w:rFonts w:ascii="Times New Roman" w:eastAsia="仿宋_GB2312" w:hAnsi="Times New Roman" w:cs="Times New Roman" w:hint="eastAsia"/>
          <w:sz w:val="32"/>
          <w:szCs w:val="32"/>
        </w:rPr>
        <w:t>银行借款是指公司在被函证银行业金融机构尚未结清的、由被函证银行业金融机构发放的全部贷款和垫款，包括但不限于一般贷款和垫款、贸易融资项下的贷款和垫款、票据垫款等，公司作为借款人的委托贷款请参见后续第</w:t>
      </w:r>
      <w:r>
        <w:rPr>
          <w:rFonts w:ascii="仿宋_GB2312" w:eastAsia="仿宋_GB2312" w:hAnsi="仿宋_GB2312" w:cs="仿宋_GB2312" w:hint="eastAsia"/>
          <w:sz w:val="32"/>
          <w:szCs w:val="32"/>
        </w:rPr>
        <w:t>（五）</w:t>
      </w:r>
      <w:r>
        <w:rPr>
          <w:rFonts w:ascii="Times New Roman" w:eastAsia="仿宋_GB2312" w:hAnsi="Times New Roman" w:cs="Times New Roman" w:hint="eastAsia"/>
          <w:sz w:val="32"/>
          <w:szCs w:val="32"/>
        </w:rPr>
        <w:t>项。</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如借款人在函证基准日存在本金或利息逾期未付情况，请在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备注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栏中予以说明，包括逾期未付行为涉及的起止日期（如适用）、金额等。</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利率</w:t>
      </w:r>
      <w:r>
        <w:rPr>
          <w:rFonts w:ascii="Times New Roman" w:eastAsia="仿宋_GB2312" w:hAnsi="Times New Roman" w:cs="Times New Roman" w:hint="eastAsia"/>
          <w:sz w:val="32"/>
          <w:szCs w:val="32"/>
        </w:rPr>
        <w:t>”是</w:t>
      </w:r>
      <w:r>
        <w:rPr>
          <w:rFonts w:ascii="Times New Roman" w:eastAsia="仿宋_GB2312" w:hAnsi="Times New Roman" w:cs="Times New Roman"/>
          <w:sz w:val="32"/>
          <w:szCs w:val="32"/>
        </w:rPr>
        <w:t>指函证基准日适用的年化利率或合同中具体约定的利率计算条款，可按照贷款合同中约定的利率进行填写，包括固定贷款利率和浮动贷款利率等类型，如</w:t>
      </w:r>
      <w:r>
        <w:rPr>
          <w:rFonts w:ascii="Times New Roman" w:eastAsia="仿宋_GB2312" w:hAnsi="Times New Roman" w:cs="Times New Roman" w:hint="eastAsia"/>
          <w:sz w:val="32"/>
          <w:szCs w:val="32"/>
        </w:rPr>
        <w:t>简单年化利率</w:t>
      </w:r>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，可以在“备注”中说明。</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借款日期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：按照每一笔借款放款借据编号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放款账号逐笔填写，借款日期可根据银行贷款合同中约定的起息日或每一笔借款放款借据编号</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放款账号对应日期填写。</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5.</w:t>
      </w:r>
      <w:r>
        <w:rPr>
          <w:rFonts w:ascii="仿宋_GB2312" w:eastAsia="仿宋_GB2312" w:hAnsi="仿宋_GB2312" w:cs="仿宋_GB2312" w:hint="eastAsia"/>
          <w:sz w:val="32"/>
          <w:szCs w:val="32"/>
        </w:rPr>
        <w:t>“到期日期”：针对垫款类业务，可根据实际情况以空白列示，并应在“备注”中进行说明。</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6.</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（三）自</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日起至</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年</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月</w:t>
      </w:r>
      <w:r>
        <w:rPr>
          <w:rFonts w:ascii="Times New Roman" w:eastAsia="楷体_GB2312" w:hAnsi="Times New Roman" w:cs="Times New Roman"/>
          <w:sz w:val="32"/>
          <w:szCs w:val="32"/>
        </w:rPr>
        <w:t xml:space="preserve">   </w:t>
      </w:r>
      <w:r>
        <w:rPr>
          <w:rFonts w:ascii="Times New Roman" w:eastAsia="楷体_GB2312" w:hAnsi="Times New Roman" w:cs="Times New Roman" w:hint="eastAsia"/>
          <w:sz w:val="32"/>
          <w:szCs w:val="32"/>
        </w:rPr>
        <w:t>日期间内注销的银行存款账户</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此项目需函证的注销账户为银行存款账户。</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lastRenderedPageBreak/>
        <w:t>（四）本公司作为委托人的委托贷款</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此项目仅指一般性的委托贷款，不包括现金管理项下的委托贷款和住房公积金项下的委托贷款。</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hint="eastAsia"/>
          <w:sz w:val="32"/>
          <w:szCs w:val="32"/>
        </w:rPr>
        <w:t>如资金借入方在函证基准日存在本金或利息逾期未付情况，应在“备注”栏中予以说明。</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“利率”是指函证基准日适用的年化利率，如简单年化利率</w:t>
      </w:r>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，应在“备注”栏对具体利率或条款进行说明。</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Times New Roman" w:eastAsia="仿宋_GB2312" w:hAnsi="Times New Roman" w:cs="Times New Roman"/>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（五）本公司作为借款人的委托贷款</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此项目仅指一般性的委托贷款，不包括现金管理项下的委托贷款和住房公积金项下的委托贷款。</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如公司在函证基准日存在本金或利息逾期未付的情况，在“备注”栏中予以说明。</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“利率”是指函证基准日适用的年化利率，如简单年化利率不适用，应在“备注”栏对具体利率或条款进行说明。</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4.</w:t>
      </w:r>
      <w:r>
        <w:rPr>
          <w:rFonts w:ascii="Times New Roman" w:eastAsia="仿宋_GB2312" w:hAnsi="Times New Roman" w:cs="Times New Roman"/>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（六）担保</w:t>
      </w:r>
    </w:p>
    <w:p w:rsidR="004F4AA1" w:rsidRDefault="00EF4052">
      <w:pPr>
        <w:spacing w:after="0" w:line="360" w:lineRule="auto"/>
        <w:ind w:firstLineChars="200" w:firstLine="643"/>
        <w:jc w:val="both"/>
        <w:rPr>
          <w:rFonts w:ascii="Times New Roman" w:eastAsia="仿宋_GB2312" w:hAnsi="Times New Roman" w:cs="Times New Roman"/>
          <w:b/>
          <w:sz w:val="32"/>
          <w:szCs w:val="32"/>
        </w:rPr>
      </w:pPr>
      <w:r>
        <w:rPr>
          <w:rFonts w:ascii="宋体" w:eastAsia="宋体" w:hAnsi="宋体" w:cs="宋体" w:hint="eastAsia"/>
          <w:b/>
          <w:sz w:val="32"/>
          <w:szCs w:val="32"/>
        </w:rPr>
        <w:t>1</w:t>
      </w:r>
      <w:r>
        <w:rPr>
          <w:rFonts w:ascii="宋体" w:eastAsia="宋体" w:hAnsi="宋体" w:cs="宋体" w:hint="eastAsia"/>
          <w:sz w:val="32"/>
          <w:szCs w:val="32"/>
        </w:rPr>
        <w:t>.</w:t>
      </w:r>
      <w:r>
        <w:rPr>
          <w:rFonts w:ascii="Times New Roman" w:eastAsia="仿宋_GB2312" w:hAnsi="Times New Roman" w:cs="Times New Roman"/>
          <w:b/>
          <w:sz w:val="32"/>
          <w:szCs w:val="32"/>
        </w:rPr>
        <w:t>本公司为其他单位提供的、以贵行为担保受益人的担保</w:t>
      </w:r>
      <w:r>
        <w:rPr>
          <w:rFonts w:ascii="Times New Roman" w:eastAsia="仿宋_GB2312" w:hAnsi="Times New Roman" w:cs="Times New Roman" w:hint="eastAsia"/>
          <w:b/>
          <w:sz w:val="32"/>
          <w:szCs w:val="32"/>
        </w:rPr>
        <w:t>。</w:t>
      </w:r>
    </w:p>
    <w:p w:rsidR="004F4AA1" w:rsidRDefault="00EF4052">
      <w:pPr>
        <w:pStyle w:val="a4"/>
        <w:spacing w:after="0" w:line="360" w:lineRule="auto"/>
        <w:ind w:firstLineChars="200" w:firstLine="640"/>
        <w:jc w:val="both"/>
        <w:rPr>
          <w:rFonts w:ascii="仿宋_GB2312" w:eastAsia="仿宋_GB2312" w:hAnsi="仿宋_GB2312" w:cs="仿宋_GB2312"/>
          <w:sz w:val="32"/>
          <w:szCs w:val="32"/>
        </w:rPr>
      </w:pPr>
      <w:r>
        <w:rPr>
          <w:rFonts w:eastAsia="宋体" w:hAnsi="宋体" w:cs="宋体" w:hint="eastAsia"/>
          <w:sz w:val="32"/>
          <w:szCs w:val="32"/>
        </w:rPr>
        <w:t>（1）</w:t>
      </w:r>
      <w:r>
        <w:rPr>
          <w:rFonts w:ascii="仿宋_GB2312" w:eastAsia="仿宋_GB2312" w:hAnsi="仿宋_GB2312" w:cs="仿宋_GB2312" w:hint="eastAsia"/>
          <w:sz w:val="32"/>
          <w:szCs w:val="32"/>
        </w:rPr>
        <w:t>“担保余额”及“担保到期日”的填写应区分最高额担保或一般担保等情形分别填列，具体担保类型应在“担保方式”栏进行明确。如采用保证金存款以外抵押或质</w:t>
      </w:r>
      <w:r>
        <w:rPr>
          <w:rFonts w:ascii="仿宋_GB2312" w:eastAsia="仿宋_GB2312" w:hAnsi="仿宋_GB2312" w:cs="仿宋_GB2312" w:hint="eastAsia"/>
          <w:sz w:val="32"/>
          <w:szCs w:val="32"/>
        </w:rPr>
        <w:lastRenderedPageBreak/>
        <w:t>押方式提供担保的，应在“备注”栏中说明抵押或质押物情况，包括但不限于抵质押品的类型、数量、权属、评估价值等；如被担保方在函证基准日存在本金或利息逾期未付情况，在“备注”栏中予以说明。对于一般担保，担保债权余额应为主债权余额，担保债权到期日应为主债权到期日；对于最高额担保，担保债权余额应为担保的全部债权余额，担保债权到期日应为担保主债权的到期日。</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格式二对应项目参照上述说明。</w:t>
      </w:r>
    </w:p>
    <w:p w:rsidR="004F4AA1" w:rsidRDefault="00EF4052">
      <w:pPr>
        <w:pStyle w:val="a4"/>
        <w:spacing w:after="0" w:line="360" w:lineRule="auto"/>
        <w:ind w:firstLineChars="200" w:firstLine="643"/>
        <w:rPr>
          <w:rFonts w:ascii="Times New Roman" w:eastAsia="仿宋_GB2312" w:hAnsi="Times New Roman" w:cs="Times New Roman"/>
          <w:b/>
          <w:sz w:val="32"/>
          <w:szCs w:val="32"/>
        </w:rPr>
      </w:pPr>
      <w:r>
        <w:rPr>
          <w:rFonts w:eastAsia="宋体" w:hAnsi="宋体" w:cs="宋体" w:hint="eastAsia"/>
          <w:b/>
          <w:sz w:val="32"/>
          <w:szCs w:val="32"/>
        </w:rPr>
        <w:t>2．</w:t>
      </w:r>
      <w:r>
        <w:rPr>
          <w:rFonts w:ascii="Times New Roman" w:eastAsia="仿宋_GB2312" w:hAnsi="Times New Roman" w:cs="Times New Roman"/>
          <w:b/>
          <w:sz w:val="32"/>
          <w:szCs w:val="32"/>
        </w:rPr>
        <w:t>贵行向本公司提供的担保（如保函业务、备用信用证业务等）</w:t>
      </w:r>
      <w:r>
        <w:rPr>
          <w:rFonts w:ascii="Times New Roman" w:eastAsia="仿宋_GB2312" w:hAnsi="Times New Roman" w:cs="Times New Roman" w:hint="eastAsia"/>
          <w:b/>
          <w:sz w:val="32"/>
          <w:szCs w:val="32"/>
        </w:rPr>
        <w:t>。</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按照相关法律定义，此项目函证的担保类型包括保函、备用信用证业务等；其中，“担保到期日”信息应根据被函证银行业金融机构开立保函、备用信用证等的有效期填写。</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格式二</w:t>
      </w:r>
      <w:r>
        <w:rPr>
          <w:rFonts w:eastAsia="宋体" w:hAnsi="宋体" w:cs="宋体" w:hint="eastAsia"/>
          <w:sz w:val="32"/>
          <w:szCs w:val="32"/>
        </w:rPr>
        <w:t>对应</w:t>
      </w:r>
      <w:r>
        <w:rPr>
          <w:rFonts w:ascii="Times New Roman" w:eastAsia="仿宋_GB2312" w:hAnsi="Times New Roman" w:cs="Times New Roman"/>
          <w:sz w:val="32"/>
          <w:szCs w:val="32"/>
        </w:rPr>
        <w:t>项目参照上述说明。</w:t>
      </w:r>
    </w:p>
    <w:p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（七）本公司为出票人且由贵行承兑而尚未支付的银行承兑汇票</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抵（质）押品</w:t>
      </w:r>
      <w:r>
        <w:rPr>
          <w:rFonts w:ascii="Times New Roman" w:eastAsia="仿宋_GB2312" w:hAnsi="Times New Roman" w:cs="Times New Roman" w:hint="eastAsia"/>
          <w:sz w:val="32"/>
          <w:szCs w:val="32"/>
        </w:rPr>
        <w:t>”指保证金存款以外的抵（质）押品情况。</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对于到期日为非工作日的情况</w:t>
      </w:r>
      <w:r>
        <w:rPr>
          <w:rFonts w:ascii="Times New Roman" w:eastAsia="仿宋_GB2312" w:hAnsi="Times New Roman" w:cs="Times New Roman" w:hint="eastAsia"/>
          <w:sz w:val="32"/>
          <w:szCs w:val="32"/>
        </w:rPr>
        <w:t>及其他类似情况，银行业金融机构应当按照与公司的合同约定进行确认、反馈并及时与注册会计师沟通。</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lastRenderedPageBreak/>
        <w:t>3.</w:t>
      </w:r>
      <w:r>
        <w:rPr>
          <w:rFonts w:ascii="Times New Roman" w:eastAsia="仿宋_GB2312" w:hAnsi="Times New Roman" w:cs="Times New Roman"/>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（八）本公司向贵行已贴现而尚未到期的商业汇票</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“承兑人名称”是指商业承兑汇票承兑付款人或银行承兑汇票承兑付款行。</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（九）本公司为持票人且由贵行托收的商业汇票</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此项目是指截至函证基准日，公司作为持票人且由被函证银行业金融机构托收的尚未收到款项的商业汇票，“承兑人名称”是指商业承兑汇票承兑付款人或银行承兑汇票承兑付款行。</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（十）本公司为申请人、由贵行开具的、未履行完毕的不可撤销信用证</w:t>
      </w:r>
    </w:p>
    <w:p w:rsidR="004F4AA1" w:rsidRDefault="00EF4052">
      <w:pPr>
        <w:spacing w:after="0" w:line="360" w:lineRule="auto"/>
        <w:ind w:firstLineChars="200" w:firstLine="640"/>
        <w:jc w:val="both"/>
        <w:rPr>
          <w:rFonts w:ascii="仿宋_GB2312" w:eastAsia="仿宋_GB2312" w:hAnsi="仿宋_GB2312" w:cs="仿宋_GB2312"/>
          <w:sz w:val="32"/>
          <w:szCs w:val="32"/>
        </w:rPr>
      </w:pPr>
      <w:r>
        <w:rPr>
          <w:rFonts w:ascii="宋体" w:eastAsia="宋体" w:hAnsi="宋体" w:cs="宋体" w:hint="eastAsia"/>
          <w:sz w:val="32"/>
          <w:szCs w:val="32"/>
        </w:rPr>
        <w:t>1.</w:t>
      </w:r>
      <w:r>
        <w:rPr>
          <w:rFonts w:ascii="仿宋_GB2312" w:eastAsia="仿宋_GB2312" w:hAnsi="仿宋_GB2312" w:cs="仿宋_GB2312" w:hint="eastAsia"/>
          <w:sz w:val="32"/>
          <w:szCs w:val="32"/>
        </w:rPr>
        <w:t>“未使用金额”为剩余没有被索偿的信用证余额（包括但不限于未到单金额和已承兑但银行尚未支付的金额），受益人可以向银行业金融机构索偿。</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“到期日”可根据信用证业务的有效期进行填写。</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t>（十一）本公司与贵行之间未履行完毕的外汇买卖合约</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此项目主要包括即期结售汇、远期结售汇、掉期结售汇、即期外汇买卖、远期外汇买卖、掉期外汇买卖等。</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lastRenderedPageBreak/>
        <w:t>2.</w:t>
      </w:r>
      <w:r>
        <w:rPr>
          <w:rFonts w:ascii="Times New Roman" w:eastAsia="仿宋_GB2312" w:hAnsi="Times New Roman" w:cs="Times New Roman" w:hint="eastAsia"/>
          <w:sz w:val="32"/>
          <w:szCs w:val="32"/>
        </w:rPr>
        <w:t>按照合约号码和汇率逐笔填写公司与被函证银行业金融机构之间全部尚未履行完毕的结售汇和外汇买卖合约（包括掉期交易尚未履行交割的部分）。一项合约编号交易下，按照合约汇率逐行填写，即一项合约汇率仅填写一行，如一项外汇买卖合约仅涉及人民币与外币或外币与外币之间的兑换，列示一行即可，如涉及两项外币与人民币之间兑换的合约汇率，则填写两行。</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（十二）本公司存放于贵行托管的证券或其他产权文件</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1.</w:t>
      </w:r>
      <w:r>
        <w:rPr>
          <w:rFonts w:ascii="Times New Roman" w:eastAsia="仿宋_GB2312" w:hAnsi="Times New Roman" w:cs="Times New Roman" w:hint="eastAsia"/>
          <w:sz w:val="32"/>
          <w:szCs w:val="32"/>
        </w:rPr>
        <w:t>此项目主要针对本公司作为委托人（不包含作为管理人的情况）与被函证银行业金融机构签订托管合同，银行依约受托管理委托资产的行为。</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2.</w:t>
      </w:r>
      <w:r>
        <w:rPr>
          <w:rFonts w:ascii="Times New Roman" w:eastAsia="仿宋_GB2312" w:hAnsi="Times New Roman" w:cs="Times New Roman" w:hint="eastAsia"/>
          <w:sz w:val="32"/>
          <w:szCs w:val="32"/>
        </w:rPr>
        <w:t>此项目主要包括公司对部分证券类资产、其他产权文件等进行资产托管的情况，不包含保险箱租赁业务，存放在银行的抵（质）押文件或凭证，或由银行业金融机构托管但已在中央登记结算机构登记并可向其查询的股票、债券等。</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3.</w:t>
      </w:r>
      <w:r>
        <w:rPr>
          <w:rFonts w:ascii="Times New Roman" w:eastAsia="仿宋_GB2312" w:hAnsi="Times New Roman" w:cs="Times New Roman" w:hint="eastAsia"/>
          <w:sz w:val="32"/>
          <w:szCs w:val="32"/>
        </w:rPr>
        <w:t>证券类资产包括但不限于未上市流通的股票、未在中央结算机构登记的股票或债券以及全球存托凭证等。其他产权文件包括但不限于存单、存款证实书、受益凭证、不动产（房屋及建筑物、土地使用权）权属证书等。</w:t>
      </w:r>
    </w:p>
    <w:p w:rsidR="004F4AA1" w:rsidRDefault="00EF4052">
      <w:pPr>
        <w:spacing w:after="0" w:line="360" w:lineRule="auto"/>
        <w:ind w:firstLineChars="200" w:firstLine="640"/>
        <w:jc w:val="both"/>
        <w:rPr>
          <w:rFonts w:ascii="Times New Roman" w:eastAsia="仿宋_GB2312" w:hAnsi="Times New Roman" w:cs="Times New Roman"/>
          <w:sz w:val="32"/>
          <w:szCs w:val="32"/>
        </w:rPr>
      </w:pPr>
      <w:r>
        <w:rPr>
          <w:rFonts w:ascii="宋体" w:eastAsia="宋体" w:hAnsi="宋体" w:cs="宋体" w:hint="eastAsia"/>
          <w:sz w:val="32"/>
          <w:szCs w:val="32"/>
        </w:rPr>
        <w:t>4.</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b w:val="0"/>
          <w:sz w:val="32"/>
          <w:szCs w:val="28"/>
        </w:rPr>
      </w:pPr>
      <w:r>
        <w:rPr>
          <w:rFonts w:ascii="Times New Roman" w:eastAsia="楷体_GB2312" w:hAnsi="Times New Roman" w:cs="Times New Roman" w:hint="eastAsia"/>
          <w:sz w:val="32"/>
          <w:szCs w:val="32"/>
        </w:rPr>
        <w:lastRenderedPageBreak/>
        <w:t>（十三）本公司购买的由贵行发行的未到期银行理财产品</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产品净值</w:t>
      </w:r>
      <w:r>
        <w:rPr>
          <w:rFonts w:ascii="Times New Roman" w:eastAsia="仿宋_GB2312" w:hAnsi="Times New Roman" w:cs="Times New Roman" w:hint="eastAsia"/>
          <w:sz w:val="32"/>
          <w:szCs w:val="32"/>
        </w:rPr>
        <w:t>”应填写函证基准日公司持有的理财产品总额，对于非净值型理财产品，应基于函证基准日的持有份额，填写公司购买理财产品的余额。</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对于封闭式产品，可根据实际起息日填写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购买日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信息，对于开放式产品，</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购买日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到期日</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处注明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不适用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格式二对应项目参照上述说明。</w:t>
      </w:r>
    </w:p>
    <w:p w:rsidR="004F4AA1" w:rsidRDefault="00EF4052">
      <w:pPr>
        <w:pStyle w:val="2"/>
        <w:spacing w:before="0" w:line="360" w:lineRule="auto"/>
        <w:ind w:firstLineChars="200" w:firstLine="643"/>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（十四）其他</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sz w:val="32"/>
          <w:szCs w:val="32"/>
        </w:rPr>
        <w:t>此项目可填列：</w:t>
      </w:r>
      <w:r>
        <w:rPr>
          <w:rFonts w:eastAsia="宋体" w:hAnsi="宋体" w:cs="宋体" w:hint="eastAsia"/>
          <w:sz w:val="32"/>
          <w:szCs w:val="32"/>
        </w:rPr>
        <w:t>（1）</w:t>
      </w:r>
      <w:r>
        <w:rPr>
          <w:rFonts w:ascii="Times New Roman" w:eastAsia="仿宋_GB2312" w:hAnsi="Times New Roman" w:cs="Times New Roman"/>
          <w:sz w:val="32"/>
          <w:szCs w:val="32"/>
        </w:rPr>
        <w:t>对上述</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项内容的补充和说明；</w:t>
      </w:r>
      <w:r>
        <w:rPr>
          <w:rFonts w:eastAsia="宋体" w:hAnsi="宋体" w:cs="宋体" w:hint="eastAsia"/>
          <w:sz w:val="32"/>
          <w:szCs w:val="32"/>
        </w:rPr>
        <w:t>（2）</w:t>
      </w:r>
      <w:r>
        <w:rPr>
          <w:rFonts w:ascii="Times New Roman" w:eastAsia="仿宋_GB2312" w:hAnsi="Times New Roman" w:cs="Times New Roman"/>
          <w:sz w:val="32"/>
          <w:szCs w:val="32"/>
        </w:rPr>
        <w:t>注册会计师认为重大且应予函证的</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项以外的其他事项，如欠银行业金融机构的其他负债或者或有负债、已授予不可撤销的信用额度、除外汇买卖外的其他衍生品交易、贵金属交易等。</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sz w:val="32"/>
          <w:szCs w:val="32"/>
        </w:rPr>
        <w:t>格式二对应项目参照上述说明，由银行业金融机构填列对上述</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项内容的补充和说明，以及其认为重大且应</w:t>
      </w:r>
      <w:r>
        <w:rPr>
          <w:rFonts w:ascii="Times New Roman" w:eastAsia="仿宋_GB2312" w:hAnsi="Times New Roman" w:cs="Times New Roman" w:hint="eastAsia"/>
          <w:sz w:val="32"/>
          <w:szCs w:val="32"/>
        </w:rPr>
        <w:t>告知注册会计师</w:t>
      </w:r>
      <w:r>
        <w:rPr>
          <w:rFonts w:ascii="Times New Roman" w:eastAsia="仿宋_GB2312" w:hAnsi="Times New Roman" w:cs="Times New Roman"/>
          <w:sz w:val="32"/>
          <w:szCs w:val="32"/>
        </w:rPr>
        <w:t>的</w:t>
      </w:r>
      <w:r>
        <w:rPr>
          <w:rFonts w:eastAsia="宋体" w:hAnsi="宋体" w:cs="宋体" w:hint="eastAsia"/>
          <w:sz w:val="32"/>
          <w:szCs w:val="32"/>
        </w:rPr>
        <w:t>1</w:t>
      </w:r>
      <w:r>
        <w:rPr>
          <w:rFonts w:ascii="Times New Roman" w:eastAsia="仿宋_GB2312" w:hAnsi="Times New Roman" w:cs="Times New Roman"/>
          <w:sz w:val="32"/>
          <w:szCs w:val="32"/>
        </w:rPr>
        <w:t>至</w:t>
      </w:r>
      <w:r>
        <w:rPr>
          <w:rFonts w:eastAsia="宋体" w:hAnsi="宋体" w:cs="宋体" w:hint="eastAsia"/>
          <w:sz w:val="32"/>
          <w:szCs w:val="32"/>
        </w:rPr>
        <w:t>13</w:t>
      </w:r>
      <w:r>
        <w:rPr>
          <w:rFonts w:ascii="Times New Roman" w:eastAsia="仿宋_GB2312" w:hAnsi="Times New Roman" w:cs="Times New Roman"/>
          <w:sz w:val="32"/>
          <w:szCs w:val="32"/>
        </w:rPr>
        <w:t>项以外的其他事项。</w:t>
      </w:r>
    </w:p>
    <w:p w:rsidR="004F4AA1" w:rsidRDefault="00EF4052">
      <w:pPr>
        <w:pStyle w:val="2"/>
        <w:spacing w:before="0" w:line="360" w:lineRule="auto"/>
        <w:ind w:firstLineChars="200" w:firstLine="643"/>
        <w:rPr>
          <w:rFonts w:ascii="Times New Roman" w:eastAsia="楷体_GB2312" w:hAnsi="Times New Roman" w:cs="Times New Roman"/>
          <w:b w:val="0"/>
          <w:bCs w:val="0"/>
          <w:sz w:val="32"/>
          <w:szCs w:val="32"/>
        </w:rPr>
      </w:pPr>
      <w:r>
        <w:rPr>
          <w:rFonts w:ascii="Times New Roman" w:eastAsia="楷体_GB2312" w:hAnsi="Times New Roman" w:cs="Times New Roman" w:hint="eastAsia"/>
          <w:sz w:val="32"/>
          <w:szCs w:val="32"/>
        </w:rPr>
        <w:t>（十五）附表</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1.</w:t>
      </w:r>
      <w:r>
        <w:rPr>
          <w:rFonts w:ascii="Times New Roman" w:eastAsia="仿宋_GB2312" w:hAnsi="Times New Roman" w:cs="Times New Roman" w:hint="eastAsia"/>
          <w:sz w:val="32"/>
          <w:szCs w:val="32"/>
        </w:rPr>
        <w:t>附表为注册会计师根据项目具体情况可以选择进一步函证的内容，而非必须函证的事项。例如，被审计集团在合并范围内实施资金集中管理，如果注册会计师认为被审计</w:t>
      </w:r>
      <w:r>
        <w:rPr>
          <w:rFonts w:ascii="Times New Roman" w:eastAsia="仿宋_GB2312" w:hAnsi="Times New Roman" w:cs="Times New Roman" w:hint="eastAsia"/>
          <w:sz w:val="32"/>
          <w:szCs w:val="32"/>
        </w:rPr>
        <w:lastRenderedPageBreak/>
        <w:t>集团内银行账户管理、关联方对账等控制有效，可以获取有关母子公司之间资金往来余额相关的审计证据，则可以选择不向银行等金融机构进一步函证附表内容；反之，如果注册会计师认为必要，可以选择向银行等金融机构进一步函证附表内容。如果注册会计师填写该附表并进行函证，银行业金融机构应当回函。</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2.</w:t>
      </w:r>
      <w:r>
        <w:rPr>
          <w:rFonts w:ascii="Times New Roman" w:eastAsia="仿宋_GB2312" w:hAnsi="Times New Roman" w:cs="Times New Roman" w:hint="eastAsia"/>
          <w:sz w:val="32"/>
          <w:szCs w:val="32"/>
        </w:rPr>
        <w:t>附表中“截至函证基准日拨入或拨出资金余额”函证的是对应账户截至函证基准日的应收、应付余额，而不是函证期间的发生额。</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3.</w:t>
      </w:r>
      <w:r>
        <w:rPr>
          <w:rFonts w:ascii="Times New Roman" w:eastAsia="仿宋_GB2312" w:hAnsi="Times New Roman" w:cs="Times New Roman" w:hint="eastAsia"/>
          <w:sz w:val="32"/>
          <w:szCs w:val="32"/>
        </w:rPr>
        <w:t>本指引附</w:t>
      </w:r>
      <w:r>
        <w:rPr>
          <w:rFonts w:eastAsia="宋体" w:hAnsi="宋体" w:cs="宋体" w:hint="eastAsia"/>
          <w:sz w:val="32"/>
          <w:szCs w:val="32"/>
        </w:rPr>
        <w:t>4</w:t>
      </w:r>
      <w:r>
        <w:rPr>
          <w:rFonts w:ascii="Times New Roman" w:eastAsia="仿宋_GB2312" w:hAnsi="Times New Roman" w:cs="Times New Roman" w:hint="eastAsia"/>
          <w:sz w:val="32"/>
          <w:szCs w:val="32"/>
        </w:rPr>
        <w:t>提供了资金池业务函证案例，供注册会计师和银行业金融机构在就资金池业务实施函证及回函时参考。</w:t>
      </w:r>
    </w:p>
    <w:p w:rsidR="004F4AA1" w:rsidRDefault="00EF4052">
      <w:pPr>
        <w:pStyle w:val="a4"/>
        <w:spacing w:after="0" w:line="360" w:lineRule="auto"/>
        <w:ind w:firstLineChars="200" w:firstLine="640"/>
        <w:jc w:val="both"/>
        <w:rPr>
          <w:rFonts w:ascii="Times New Roman" w:eastAsia="仿宋_GB2312" w:hAnsi="Times New Roman" w:cs="Times New Roman"/>
          <w:sz w:val="32"/>
          <w:szCs w:val="32"/>
        </w:rPr>
      </w:pPr>
      <w:r>
        <w:rPr>
          <w:rFonts w:eastAsia="宋体" w:hAnsi="宋体" w:cs="宋体" w:hint="eastAsia"/>
          <w:sz w:val="32"/>
          <w:szCs w:val="32"/>
        </w:rPr>
        <w:t xml:space="preserve">4. </w:t>
      </w:r>
      <w:r>
        <w:rPr>
          <w:rFonts w:ascii="Times New Roman" w:eastAsia="仿宋_GB2312" w:hAnsi="Times New Roman" w:cs="Times New Roman" w:hint="eastAsia"/>
          <w:sz w:val="32"/>
          <w:szCs w:val="32"/>
        </w:rPr>
        <w:t>格式二对应项目参照上述说明。</w:t>
      </w:r>
    </w:p>
    <w:p w:rsidR="004F4AA1" w:rsidRDefault="004F4AA1">
      <w:pPr>
        <w:spacing w:after="0" w:line="360" w:lineRule="auto"/>
        <w:ind w:firstLineChars="200" w:firstLine="640"/>
        <w:rPr>
          <w:rFonts w:ascii="Times New Roman" w:eastAsia="仿宋_GB2312" w:hAnsi="Times New Roman" w:cs="Times New Roman"/>
          <w:sz w:val="32"/>
          <w:szCs w:val="32"/>
        </w:rPr>
      </w:pPr>
    </w:p>
    <w:p w:rsidR="004F4AA1" w:rsidRDefault="00EF4052">
      <w:pPr>
        <w:spacing w:after="0" w:line="36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宋体" w:eastAsia="宋体" w:hAnsi="宋体" w:cs="宋体" w:hint="eastAsia"/>
          <w:sz w:val="32"/>
          <w:szCs w:val="32"/>
        </w:rPr>
        <w:t>1.</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银行询证函（格式一）</w:t>
      </w:r>
    </w:p>
    <w:p w:rsidR="004F4AA1" w:rsidRDefault="00EF4052">
      <w:pPr>
        <w:spacing w:after="0" w:line="360" w:lineRule="auto"/>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 xml:space="preserve">    2.</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银行询证函（格式二）</w:t>
      </w:r>
    </w:p>
    <w:p w:rsidR="004F4AA1" w:rsidRDefault="00EF4052">
      <w:pPr>
        <w:spacing w:after="0" w:line="360" w:lineRule="auto"/>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 xml:space="preserve">    3. </w:t>
      </w:r>
      <w:r>
        <w:rPr>
          <w:rFonts w:ascii="Times New Roman" w:eastAsia="仿宋_GB2312" w:hAnsi="Times New Roman" w:cs="Times New Roman" w:hint="eastAsia"/>
          <w:sz w:val="32"/>
          <w:szCs w:val="32"/>
        </w:rPr>
        <w:t>验资业务银行询证函</w:t>
      </w:r>
    </w:p>
    <w:p w:rsidR="004F4AA1" w:rsidRDefault="00EF4052">
      <w:pPr>
        <w:spacing w:after="0" w:line="360" w:lineRule="auto"/>
        <w:ind w:firstLineChars="200" w:firstLine="640"/>
        <w:rPr>
          <w:rFonts w:ascii="Times New Roman" w:eastAsia="仿宋_GB2312" w:hAnsi="Times New Roman" w:cs="Times New Roman"/>
          <w:sz w:val="32"/>
          <w:szCs w:val="32"/>
        </w:rPr>
      </w:pPr>
      <w:r>
        <w:rPr>
          <w:rFonts w:ascii="宋体" w:eastAsia="宋体" w:hAnsi="宋体" w:cs="宋体" w:hint="eastAsia"/>
          <w:sz w:val="32"/>
          <w:szCs w:val="32"/>
        </w:rPr>
        <w:t xml:space="preserve">    4. </w:t>
      </w:r>
      <w:r>
        <w:rPr>
          <w:rFonts w:ascii="Times New Roman" w:eastAsia="仿宋_GB2312" w:hAnsi="Times New Roman" w:cs="Times New Roman" w:hint="eastAsia"/>
          <w:sz w:val="32"/>
          <w:szCs w:val="32"/>
        </w:rPr>
        <w:t>资金池业务函证案例</w:t>
      </w:r>
    </w:p>
    <w:p w:rsidR="004F4AA1" w:rsidRDefault="00EF4052">
      <w:pPr>
        <w:spacing w:after="0" w:line="240" w:lineRule="auto"/>
        <w:rPr>
          <w:rFonts w:ascii="宋体" w:eastAsia="宋体" w:hAnsi="宋体" w:cs="宋体"/>
          <w:kern w:val="2"/>
          <w:sz w:val="28"/>
          <w:szCs w:val="28"/>
        </w:rPr>
      </w:pPr>
      <w:r>
        <w:rPr>
          <w:rFonts w:ascii="Times New Roman" w:eastAsia="仿宋_GB2312" w:hAnsi="Times New Roman" w:cs="Times New Roman"/>
          <w:sz w:val="28"/>
          <w:szCs w:val="28"/>
        </w:rPr>
        <w:br w:type="page"/>
      </w:r>
      <w:r>
        <w:rPr>
          <w:rFonts w:ascii="仿宋_GB2312" w:eastAsia="仿宋_GB2312" w:hAnsi="仿宋_GB2312" w:cs="仿宋_GB2312" w:hint="eastAsia"/>
          <w:kern w:val="2"/>
          <w:sz w:val="28"/>
          <w:szCs w:val="28"/>
        </w:rPr>
        <w:lastRenderedPageBreak/>
        <w:t>附</w:t>
      </w:r>
      <w:r>
        <w:rPr>
          <w:rFonts w:ascii="宋体" w:eastAsia="宋体" w:hAnsi="宋体" w:cs="宋体" w:hint="eastAsia"/>
          <w:kern w:val="2"/>
          <w:sz w:val="28"/>
          <w:szCs w:val="28"/>
        </w:rPr>
        <w:t>1</w:t>
      </w:r>
    </w:p>
    <w:p w:rsidR="004F4AA1" w:rsidRDefault="00EF4052">
      <w:pPr>
        <w:pStyle w:val="1"/>
        <w:spacing w:before="0" w:line="580" w:lineRule="exact"/>
        <w:ind w:firstLineChars="200" w:firstLine="643"/>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银行询证函（格式一）</w:t>
      </w:r>
    </w:p>
    <w:p w:rsidR="004F4AA1" w:rsidRDefault="00EF4052">
      <w:pPr>
        <w:widowControl w:val="0"/>
        <w:spacing w:after="16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4F4AA1" w:rsidRDefault="004F4AA1">
      <w:pPr>
        <w:widowControl w:val="0"/>
        <w:spacing w:after="160" w:line="440" w:lineRule="exact"/>
        <w:ind w:right="420"/>
        <w:jc w:val="both"/>
        <w:rPr>
          <w:rFonts w:ascii="仿宋_GB2312" w:eastAsia="仿宋_GB2312" w:hAnsi="仿宋_GB2312" w:cs="仿宋_GB2312"/>
          <w:kern w:val="2"/>
          <w:sz w:val="24"/>
          <w:szCs w:val="24"/>
        </w:rPr>
      </w:pPr>
    </w:p>
    <w:p w:rsidR="004F4AA1" w:rsidRDefault="00EF4052">
      <w:pPr>
        <w:widowControl w:val="0"/>
        <w:spacing w:after="16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]的要求，应当询证本公司与贵行相关的信息。下列第</w:t>
      </w:r>
      <w:r>
        <w:rPr>
          <w:rFonts w:ascii="宋体" w:eastAsia="宋体" w:hAnsi="宋体" w:cs="宋体" w:hint="eastAsia"/>
          <w:kern w:val="2"/>
          <w:sz w:val="24"/>
          <w:szCs w:val="24"/>
        </w:rPr>
        <w:t>1-14</w:t>
      </w:r>
      <w:r>
        <w:rPr>
          <w:rFonts w:ascii="仿宋_GB2312" w:eastAsia="仿宋_GB2312" w:hAnsi="仿宋_GB2312" w:cs="仿宋_GB2312" w:hint="eastAsia"/>
          <w:kern w:val="2"/>
          <w:sz w:val="24"/>
          <w:szCs w:val="24"/>
        </w:rPr>
        <w:t>项及附表（如适用）信息出自本公司的记录：</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宋体" w:eastAsia="宋体" w:hAnsi="宋体" w:cs="宋体" w:hint="eastAsia"/>
          <w:kern w:val="2"/>
          <w:sz w:val="24"/>
          <w:szCs w:val="24"/>
        </w:rPr>
        <w:t>（1）</w:t>
      </w:r>
      <w:r>
        <w:rPr>
          <w:rFonts w:ascii="仿宋_GB2312" w:eastAsia="仿宋_GB2312" w:hAnsi="仿宋_GB2312" w:cs="仿宋_GB2312" w:hint="eastAsia"/>
          <w:kern w:val="2"/>
          <w:sz w:val="24"/>
          <w:szCs w:val="24"/>
        </w:rPr>
        <w:t>如与贵行记录相符，请在本函“结论”部分[签字和签章]或[签发电子签名]</w:t>
      </w:r>
      <w:r>
        <w:rPr>
          <w:rFonts w:ascii="仿宋_GB2312" w:eastAsia="仿宋_GB2312" w:hAnsi="仿宋_GB2312" w:cs="仿宋_GB2312" w:hint="eastAsia"/>
          <w:kern w:val="2"/>
          <w:sz w:val="24"/>
          <w:szCs w:val="24"/>
          <w:vertAlign w:val="superscript"/>
        </w:rPr>
        <w:footnoteReference w:id="1"/>
      </w:r>
      <w:r>
        <w:rPr>
          <w:rFonts w:ascii="仿宋_GB2312" w:eastAsia="仿宋_GB2312" w:hAnsi="仿宋_GB2312" w:cs="仿宋_GB2312" w:hint="eastAsia"/>
          <w:kern w:val="2"/>
          <w:sz w:val="24"/>
          <w:szCs w:val="24"/>
        </w:rPr>
        <w:t>；</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宋体" w:eastAsia="宋体" w:hAnsi="宋体" w:cs="宋体" w:hint="eastAsia"/>
          <w:kern w:val="2"/>
          <w:sz w:val="24"/>
          <w:szCs w:val="24"/>
        </w:rPr>
        <w:t>（2）</w:t>
      </w:r>
      <w:r>
        <w:rPr>
          <w:rFonts w:ascii="仿宋_GB2312" w:eastAsia="仿宋_GB2312" w:hAnsi="仿宋_GB2312" w:cs="仿宋_GB2312" w:hint="eastAsia"/>
          <w:kern w:val="2"/>
          <w:sz w:val="24"/>
          <w:szCs w:val="24"/>
        </w:rPr>
        <w:t>如有不符，请在本函“结论”部分列明不符项目及具体内容，并[签字和签章]或[签发电子签名]。</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2"/>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如下：</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本公司谨授权贵行可从本公司××账戶支取办理本询证函回函服务的费用（如适用）。</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截至[</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月</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日]（即“函证基准日”），本公司与贵行相关的信息</w:t>
      </w:r>
      <w:r>
        <w:rPr>
          <w:rStyle w:val="af0"/>
          <w:rFonts w:ascii="仿宋_GB2312" w:eastAsia="仿宋_GB2312" w:hAnsi="仿宋_GB2312" w:cs="仿宋_GB2312" w:hint="eastAsia"/>
          <w:kern w:val="2"/>
          <w:sz w:val="24"/>
          <w:szCs w:val="24"/>
        </w:rPr>
        <w:footnoteReference w:id="4"/>
      </w:r>
      <w:r>
        <w:rPr>
          <w:rFonts w:ascii="仿宋_GB2312" w:eastAsia="仿宋_GB2312" w:hAnsi="仿宋_GB2312" w:cs="仿宋_GB2312" w:hint="eastAsia"/>
          <w:kern w:val="2"/>
          <w:sz w:val="24"/>
          <w:szCs w:val="24"/>
        </w:rPr>
        <w:t>列示如下：</w:t>
      </w:r>
    </w:p>
    <w:p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498"/>
        <w:gridCol w:w="498"/>
        <w:gridCol w:w="497"/>
        <w:gridCol w:w="639"/>
        <w:gridCol w:w="639"/>
        <w:gridCol w:w="2059"/>
        <w:gridCol w:w="639"/>
        <w:gridCol w:w="426"/>
        <w:gridCol w:w="1632"/>
        <w:gridCol w:w="497"/>
      </w:tblGrid>
      <w:tr w:rsidR="004F4AA1">
        <w:trPr>
          <w:tblHeader/>
          <w:jc w:val="center"/>
        </w:trPr>
        <w:tc>
          <w:tcPr>
            <w:tcW w:w="49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49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9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9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63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63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205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63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42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期</w:t>
            </w:r>
          </w:p>
        </w:tc>
        <w:tc>
          <w:tcPr>
            <w:tcW w:w="163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（如是，请注明）</w:t>
            </w:r>
          </w:p>
        </w:tc>
        <w:tc>
          <w:tcPr>
            <w:tcW w:w="49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jc w:val="center"/>
        </w:trPr>
        <w:tc>
          <w:tcPr>
            <w:tcW w:w="49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05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2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jc w:val="center"/>
        </w:trPr>
        <w:tc>
          <w:tcPr>
            <w:tcW w:w="49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05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3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2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9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除上述列示的银行存款（包括余额为零的存款账户）外，本公司并无在贵行的其他存款。</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3"/>
        <w:gridCol w:w="764"/>
        <w:gridCol w:w="646"/>
        <w:gridCol w:w="680"/>
        <w:gridCol w:w="740"/>
        <w:gridCol w:w="844"/>
        <w:gridCol w:w="844"/>
        <w:gridCol w:w="1836"/>
        <w:gridCol w:w="915"/>
      </w:tblGrid>
      <w:tr w:rsidR="004F4AA1">
        <w:trPr>
          <w:trHeight w:val="897"/>
          <w:jc w:val="center"/>
        </w:trPr>
        <w:tc>
          <w:tcPr>
            <w:tcW w:w="125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6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64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459"/>
          <w:jc w:val="center"/>
        </w:trPr>
        <w:tc>
          <w:tcPr>
            <w:tcW w:w="125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8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4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83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1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459"/>
          <w:jc w:val="center"/>
        </w:trPr>
        <w:tc>
          <w:tcPr>
            <w:tcW w:w="125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8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4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83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1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除上述列示的银行借款外，本公司并无自贵行的其他借款。</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3．</w:t>
      </w:r>
      <w:r>
        <w:rPr>
          <w:rFonts w:ascii="仿宋_GB2312" w:eastAsia="仿宋_GB2312" w:hAnsi="仿宋_GB2312" w:cs="仿宋_GB2312" w:hint="eastAsia"/>
          <w:kern w:val="2"/>
          <w:sz w:val="21"/>
          <w:szCs w:val="21"/>
        </w:rPr>
        <w:t>自</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日起至</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1653"/>
        <w:gridCol w:w="1784"/>
        <w:gridCol w:w="2387"/>
      </w:tblGrid>
      <w:tr w:rsidR="004F4AA1">
        <w:trPr>
          <w:trHeight w:val="209"/>
          <w:jc w:val="center"/>
        </w:trPr>
        <w:tc>
          <w:tcPr>
            <w:tcW w:w="278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5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8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8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4F4AA1">
        <w:trPr>
          <w:trHeight w:val="162"/>
          <w:jc w:val="center"/>
        </w:trPr>
        <w:tc>
          <w:tcPr>
            <w:tcW w:w="278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5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8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8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162"/>
          <w:jc w:val="center"/>
        </w:trPr>
        <w:tc>
          <w:tcPr>
            <w:tcW w:w="278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5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8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8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除上述列示的注销账户外，本公司在此期间并未在贵行注销其他账户。</w:t>
      </w:r>
    </w:p>
    <w:p w:rsidR="004F4AA1" w:rsidRDefault="00EF4052">
      <w:pPr>
        <w:spacing w:after="160" w:line="259" w:lineRule="auto"/>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lastRenderedPageBreak/>
        <w:t>4．</w:t>
      </w:r>
      <w:r>
        <w:rPr>
          <w:rFonts w:ascii="仿宋_GB2312" w:eastAsia="仿宋_GB2312" w:hAnsi="仿宋_GB2312" w:cs="仿宋_GB2312"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993"/>
        <w:gridCol w:w="1126"/>
        <w:gridCol w:w="709"/>
        <w:gridCol w:w="1000"/>
        <w:gridCol w:w="985"/>
        <w:gridCol w:w="1559"/>
        <w:gridCol w:w="992"/>
      </w:tblGrid>
      <w:tr w:rsidR="004F4AA1">
        <w:trPr>
          <w:trHeight w:val="203"/>
          <w:jc w:val="center"/>
        </w:trPr>
        <w:tc>
          <w:tcPr>
            <w:tcW w:w="13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9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2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70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0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8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9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203"/>
          <w:jc w:val="center"/>
        </w:trPr>
        <w:tc>
          <w:tcPr>
            <w:tcW w:w="132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203"/>
          <w:jc w:val="center"/>
        </w:trPr>
        <w:tc>
          <w:tcPr>
            <w:tcW w:w="132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除上述列示的委托贷款外，本公司并无通过贵行办理的其他以本公司作为委托人的委托贷款。</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6"/>
        <w:gridCol w:w="937"/>
        <w:gridCol w:w="992"/>
        <w:gridCol w:w="709"/>
        <w:gridCol w:w="851"/>
        <w:gridCol w:w="1134"/>
        <w:gridCol w:w="1559"/>
        <w:gridCol w:w="1096"/>
      </w:tblGrid>
      <w:tr w:rsidR="004F4AA1">
        <w:trPr>
          <w:trHeight w:val="203"/>
          <w:jc w:val="center"/>
        </w:trPr>
        <w:tc>
          <w:tcPr>
            <w:tcW w:w="131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3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9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3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9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203"/>
          <w:jc w:val="center"/>
        </w:trPr>
        <w:tc>
          <w:tcPr>
            <w:tcW w:w="131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203"/>
          <w:jc w:val="center"/>
        </w:trPr>
        <w:tc>
          <w:tcPr>
            <w:tcW w:w="131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5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除上述列示的委托贷款外，本公司并无通过贵行办理的其他以本公司作为借款人的委托贷款。</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6．</w:t>
      </w:r>
      <w:r>
        <w:rPr>
          <w:rFonts w:ascii="仿宋_GB2312" w:eastAsia="仿宋_GB2312" w:hAnsi="仿宋_GB2312" w:cs="仿宋_GB2312" w:hint="eastAsia"/>
          <w:kern w:val="2"/>
          <w:sz w:val="21"/>
          <w:szCs w:val="21"/>
        </w:rPr>
        <w:t>担保</w:t>
      </w: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949"/>
        <w:gridCol w:w="1125"/>
        <w:gridCol w:w="1125"/>
        <w:gridCol w:w="1110"/>
        <w:gridCol w:w="1565"/>
        <w:gridCol w:w="902"/>
      </w:tblGrid>
      <w:tr w:rsidR="004F4AA1">
        <w:trPr>
          <w:cantSplit/>
          <w:trHeight w:val="232"/>
          <w:jc w:val="center"/>
        </w:trPr>
        <w:tc>
          <w:tcPr>
            <w:tcW w:w="1746" w:type="dxa"/>
            <w:vAlign w:val="center"/>
          </w:tcPr>
          <w:p w:rsidR="004F4AA1" w:rsidRDefault="00EF4052" w:rsidP="00A07679">
            <w:pPr>
              <w:widowControl w:val="0"/>
              <w:spacing w:after="0"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0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cantSplit/>
          <w:trHeight w:val="232"/>
          <w:jc w:val="center"/>
        </w:trPr>
        <w:tc>
          <w:tcPr>
            <w:tcW w:w="17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0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cantSplit/>
          <w:trHeight w:val="232"/>
          <w:jc w:val="center"/>
        </w:trPr>
        <w:tc>
          <w:tcPr>
            <w:tcW w:w="17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0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除上述列示的担保外，本公司并无其他以贵行为担保受益人的担保。</w:t>
      </w:r>
    </w:p>
    <w:p w:rsidR="004F4AA1" w:rsidRDefault="00EF4052">
      <w:pPr>
        <w:spacing w:after="160" w:line="259" w:lineRule="auto"/>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lastRenderedPageBreak/>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F4AA1">
        <w:trPr>
          <w:cantSplit/>
          <w:trHeight w:val="251"/>
        </w:trPr>
        <w:tc>
          <w:tcPr>
            <w:tcW w:w="1672" w:type="dxa"/>
            <w:vAlign w:val="center"/>
          </w:tcPr>
          <w:p w:rsidR="004F4AA1" w:rsidRDefault="00EF4052" w:rsidP="00A07679">
            <w:pPr>
              <w:widowControl w:val="0"/>
              <w:spacing w:after="0"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cantSplit/>
          <w:trHeight w:val="251"/>
        </w:trPr>
        <w:tc>
          <w:tcPr>
            <w:tcW w:w="167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cantSplit/>
          <w:trHeight w:val="251"/>
        </w:trPr>
        <w:tc>
          <w:tcPr>
            <w:tcW w:w="167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除上述列示的担保外，本公司并无贵行提供的其他担保。</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638"/>
        <w:gridCol w:w="770"/>
        <w:gridCol w:w="845"/>
        <w:gridCol w:w="937"/>
        <w:gridCol w:w="891"/>
        <w:gridCol w:w="1449"/>
      </w:tblGrid>
      <w:tr w:rsidR="004F4AA1">
        <w:trPr>
          <w:jc w:val="center"/>
        </w:trPr>
        <w:tc>
          <w:tcPr>
            <w:tcW w:w="1992"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638"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770"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5"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937"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91"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49"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4F4AA1">
        <w:trPr>
          <w:jc w:val="center"/>
        </w:trPr>
        <w:tc>
          <w:tcPr>
            <w:tcW w:w="199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9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jc w:val="center"/>
        </w:trPr>
        <w:tc>
          <w:tcPr>
            <w:tcW w:w="199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37"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9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除上述列示的银行承兑汇票外，本公司并无由贵行承兑而尚未支付的其他银行承兑汇票。</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1033"/>
        <w:gridCol w:w="777"/>
        <w:gridCol w:w="777"/>
        <w:gridCol w:w="1033"/>
        <w:gridCol w:w="1031"/>
        <w:gridCol w:w="1031"/>
        <w:gridCol w:w="1031"/>
        <w:gridCol w:w="776"/>
      </w:tblGrid>
      <w:tr w:rsidR="004F4AA1">
        <w:trPr>
          <w:trHeight w:val="1144"/>
          <w:jc w:val="center"/>
        </w:trPr>
        <w:tc>
          <w:tcPr>
            <w:tcW w:w="103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103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7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7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03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03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3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103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77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4F4AA1">
        <w:trPr>
          <w:trHeight w:val="117"/>
          <w:jc w:val="center"/>
        </w:trPr>
        <w:tc>
          <w:tcPr>
            <w:tcW w:w="103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117"/>
          <w:jc w:val="center"/>
        </w:trPr>
        <w:tc>
          <w:tcPr>
            <w:tcW w:w="103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除上述列示的商业汇票外，本公司并无向贵行已贴现而尚未到期的其他商业汇票。</w:t>
      </w:r>
    </w:p>
    <w:p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rsidR="004F4AA1" w:rsidRDefault="00EF4052">
      <w:pPr>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r>
        <w:rPr>
          <w:rFonts w:ascii="宋体" w:eastAsia="宋体" w:hAnsi="宋体" w:cs="宋体" w:hint="eastAsia"/>
          <w:kern w:val="2"/>
          <w:sz w:val="21"/>
          <w:szCs w:val="21"/>
        </w:rPr>
        <w:lastRenderedPageBreak/>
        <w:t>9．</w:t>
      </w:r>
      <w:r>
        <w:rPr>
          <w:rFonts w:ascii="仿宋_GB2312" w:eastAsia="仿宋_GB2312" w:hAnsi="仿宋_GB2312" w:cs="仿宋_GB2312" w:hint="eastAsia"/>
          <w:kern w:val="2"/>
          <w:sz w:val="21"/>
          <w:szCs w:val="21"/>
        </w:rPr>
        <w:t>本公司为持票人且由贵行托收的商业汇票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4F4AA1">
        <w:trPr>
          <w:trHeight w:val="587"/>
        </w:trPr>
        <w:tc>
          <w:tcPr>
            <w:tcW w:w="142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142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1420" w:type="dxa"/>
            <w:vAlign w:val="center"/>
          </w:tcPr>
          <w:p w:rsidR="004F4AA1" w:rsidRDefault="00EF4052">
            <w:pPr>
              <w:widowControl w:val="0"/>
              <w:spacing w:after="0"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4F4AA1">
        <w:trPr>
          <w:trHeight w:val="300"/>
        </w:trPr>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300"/>
        </w:trPr>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除上述列示的商业汇票外，本公司并无由贵行托收的其他商业汇票。</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421"/>
        <w:gridCol w:w="1420"/>
        <w:gridCol w:w="1420"/>
        <w:gridCol w:w="1420"/>
        <w:gridCol w:w="1420"/>
      </w:tblGrid>
      <w:tr w:rsidR="004F4AA1">
        <w:trPr>
          <w:trHeight w:val="748"/>
        </w:trPr>
        <w:tc>
          <w:tcPr>
            <w:tcW w:w="142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42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2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4F4AA1">
        <w:trPr>
          <w:trHeight w:val="374"/>
        </w:trPr>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383"/>
        </w:trPr>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2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除上述列示的不可撤销信用证外，本公司并无由贵行开具的、未履行完毕的其他不可撤销信用证。</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1"/>
        <w:gridCol w:w="961"/>
        <w:gridCol w:w="1986"/>
        <w:gridCol w:w="770"/>
        <w:gridCol w:w="1114"/>
      </w:tblGrid>
      <w:tr w:rsidR="004F4AA1">
        <w:trPr>
          <w:trHeight w:val="818"/>
        </w:trPr>
        <w:tc>
          <w:tcPr>
            <w:tcW w:w="16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1"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 xml:space="preserve">贵行买入币种 </w:t>
            </w:r>
          </w:p>
        </w:tc>
        <w:tc>
          <w:tcPr>
            <w:tcW w:w="198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11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4F4AA1">
        <w:trPr>
          <w:trHeight w:val="409"/>
        </w:trPr>
        <w:tc>
          <w:tcPr>
            <w:tcW w:w="16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409"/>
        </w:trPr>
        <w:tc>
          <w:tcPr>
            <w:tcW w:w="16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除上述列示的外汇买卖合约外，本公司并无与贵行之间未履行完毕的其他外汇买卖合约。</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1763"/>
        <w:gridCol w:w="1470"/>
        <w:gridCol w:w="1469"/>
        <w:gridCol w:w="1762"/>
      </w:tblGrid>
      <w:tr w:rsidR="004F4AA1">
        <w:trPr>
          <w:trHeight w:val="463"/>
        </w:trPr>
        <w:tc>
          <w:tcPr>
            <w:tcW w:w="205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6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7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46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76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4F4AA1">
        <w:trPr>
          <w:trHeight w:val="141"/>
        </w:trPr>
        <w:tc>
          <w:tcPr>
            <w:tcW w:w="205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6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141"/>
        </w:trPr>
        <w:tc>
          <w:tcPr>
            <w:tcW w:w="205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6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除上述列示的证券或其他产权文件外，本公司并无存放于贵行托管的其他证券或其他产</w:t>
      </w:r>
      <w:r>
        <w:rPr>
          <w:rFonts w:ascii="仿宋_GB2312" w:eastAsia="仿宋_GB2312" w:hAnsi="仿宋_GB2312" w:cs="仿宋_GB2312" w:hint="eastAsia"/>
          <w:kern w:val="2"/>
          <w:sz w:val="21"/>
          <w:szCs w:val="21"/>
        </w:rPr>
        <w:lastRenderedPageBreak/>
        <w:t>权文件。</w:t>
      </w:r>
    </w:p>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 xml:space="preserve">13. </w:t>
      </w:r>
      <w:r>
        <w:rPr>
          <w:rFonts w:ascii="仿宋_GB2312" w:eastAsia="仿宋_GB2312" w:hAnsi="仿宋_GB2312" w:cs="仿宋_GB2312" w:hint="eastAsia"/>
          <w:kern w:val="2"/>
          <w:sz w:val="21"/>
          <w:szCs w:val="21"/>
        </w:rPr>
        <w:t>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1366"/>
        <w:gridCol w:w="869"/>
        <w:gridCol w:w="1065"/>
        <w:gridCol w:w="1065"/>
        <w:gridCol w:w="1065"/>
        <w:gridCol w:w="1065"/>
        <w:gridCol w:w="1065"/>
      </w:tblGrid>
      <w:tr w:rsidR="004F4AA1">
        <w:trPr>
          <w:trHeight w:val="788"/>
          <w:tblHeader/>
        </w:trPr>
        <w:tc>
          <w:tcPr>
            <w:tcW w:w="96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3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86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4F4AA1">
        <w:trPr>
          <w:trHeight w:val="389"/>
        </w:trPr>
        <w:tc>
          <w:tcPr>
            <w:tcW w:w="96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399"/>
        </w:trPr>
        <w:tc>
          <w:tcPr>
            <w:tcW w:w="96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除上述列示的银行理财产品外，本公司并未购买其他由贵行发行的理财产品。</w:t>
      </w:r>
    </w:p>
    <w:p w:rsidR="004F4AA1" w:rsidRDefault="004F4AA1">
      <w:pPr>
        <w:widowControl w:val="0"/>
        <w:spacing w:after="16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16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14．</w:t>
      </w:r>
      <w:r>
        <w:rPr>
          <w:rFonts w:ascii="仿宋_GB2312" w:eastAsia="仿宋_GB2312" w:hAnsi="仿宋_GB2312" w:cs="仿宋_GB2312" w:hint="eastAsia"/>
          <w:kern w:val="2"/>
          <w:sz w:val="21"/>
          <w:szCs w:val="21"/>
        </w:rPr>
        <w:t>其他</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0"/>
      </w:tblGrid>
      <w:tr w:rsidR="004F4AA1">
        <w:trPr>
          <w:trHeight w:val="596"/>
        </w:trPr>
        <w:tc>
          <w:tcPr>
            <w:tcW w:w="8420" w:type="dxa"/>
          </w:tcPr>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tc>
      </w:tr>
    </w:tbl>
    <w:p w:rsidR="004F4AA1" w:rsidRDefault="004F4AA1">
      <w:pPr>
        <w:spacing w:after="160" w:line="259" w:lineRule="auto"/>
        <w:rPr>
          <w:rFonts w:ascii="仿宋_GB2312" w:eastAsia="仿宋_GB2312" w:hAnsi="仿宋_GB2312" w:cs="仿宋_GB2312"/>
          <w:b/>
          <w:kern w:val="2"/>
          <w:sz w:val="21"/>
          <w:szCs w:val="21"/>
        </w:rPr>
      </w:pPr>
    </w:p>
    <w:p w:rsidR="004F4AA1" w:rsidRDefault="00EF4052">
      <w:pPr>
        <w:spacing w:after="0" w:line="240"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rsidR="004F4AA1" w:rsidRDefault="004F4AA1">
      <w:pPr>
        <w:spacing w:after="0" w:line="240" w:lineRule="auto"/>
        <w:rPr>
          <w:rFonts w:ascii="仿宋_GB2312" w:eastAsia="仿宋_GB2312" w:hAnsi="仿宋_GB2312" w:cs="仿宋_GB2312"/>
          <w:b/>
          <w:kern w:val="2"/>
          <w:sz w:val="21"/>
          <w:szCs w:val="21"/>
        </w:rPr>
      </w:pPr>
    </w:p>
    <w:p w:rsidR="004F4AA1" w:rsidRDefault="00EF4052">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1a"/>
        <w:tblW w:w="8522" w:type="dxa"/>
        <w:tblLayout w:type="fixed"/>
        <w:tblLook w:val="04A0" w:firstRow="1" w:lastRow="0" w:firstColumn="1" w:lastColumn="0" w:noHBand="0" w:noVBand="1"/>
      </w:tblPr>
      <w:tblGrid>
        <w:gridCol w:w="578"/>
        <w:gridCol w:w="1486"/>
        <w:gridCol w:w="883"/>
        <w:gridCol w:w="1556"/>
        <w:gridCol w:w="783"/>
        <w:gridCol w:w="521"/>
        <w:gridCol w:w="2194"/>
        <w:gridCol w:w="521"/>
      </w:tblGrid>
      <w:tr w:rsidR="004F4AA1">
        <w:tc>
          <w:tcPr>
            <w:tcW w:w="578" w:type="dxa"/>
          </w:tcPr>
          <w:p w:rsidR="004F4AA1" w:rsidRDefault="00EF4052">
            <w:pPr>
              <w:widowControl w:val="0"/>
              <w:spacing w:after="0" w:line="360" w:lineRule="auto"/>
              <w:jc w:val="both"/>
              <w:rPr>
                <w:rFonts w:ascii="仿宋_GB2312" w:eastAsia="仿宋_GB2312" w:hAnsi="仿宋_GB2312" w:cs="仿宋_GB2312"/>
                <w:sz w:val="21"/>
                <w:szCs w:val="24"/>
              </w:rPr>
            </w:pPr>
            <w:r>
              <w:rPr>
                <w:rFonts w:ascii="仿宋_GB2312" w:eastAsia="仿宋_GB2312" w:hAnsi="仿宋_GB2312" w:cs="仿宋_GB2312" w:hint="eastAsia"/>
                <w:kern w:val="2"/>
                <w:sz w:val="21"/>
                <w:szCs w:val="24"/>
              </w:rPr>
              <w:t>序号</w:t>
            </w:r>
          </w:p>
        </w:tc>
        <w:tc>
          <w:tcPr>
            <w:tcW w:w="148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资金提供机构名称(即拨入资金的具体机构)</w:t>
            </w:r>
          </w:p>
        </w:tc>
        <w:tc>
          <w:tcPr>
            <w:tcW w:w="883"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资金提供机构账号</w:t>
            </w:r>
          </w:p>
        </w:tc>
        <w:tc>
          <w:tcPr>
            <w:tcW w:w="155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资金使用机构名称(即向该具体机构拨出资金)</w:t>
            </w:r>
          </w:p>
        </w:tc>
        <w:tc>
          <w:tcPr>
            <w:tcW w:w="783"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资金使用机构账号</w:t>
            </w:r>
          </w:p>
        </w:tc>
        <w:tc>
          <w:tcPr>
            <w:tcW w:w="521"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币种</w:t>
            </w:r>
          </w:p>
        </w:tc>
        <w:tc>
          <w:tcPr>
            <w:tcW w:w="2194"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截至函证基准日拨入或拨出资金余额</w:t>
            </w:r>
            <w:r>
              <w:rPr>
                <w:rFonts w:ascii="仿宋_GB2312" w:eastAsia="仿宋_GB2312" w:hAnsi="仿宋_GB2312" w:cs="仿宋_GB2312" w:hint="eastAsia"/>
                <w:kern w:val="2"/>
                <w:sz w:val="21"/>
                <w:szCs w:val="24"/>
              </w:rPr>
              <w:br/>
              <w:t>(拨出填列正数，拨入填列负数)</w:t>
            </w:r>
          </w:p>
        </w:tc>
        <w:tc>
          <w:tcPr>
            <w:tcW w:w="521"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备注</w:t>
            </w:r>
          </w:p>
        </w:tc>
      </w:tr>
      <w:tr w:rsidR="004F4AA1">
        <w:tc>
          <w:tcPr>
            <w:tcW w:w="578"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宋体" w:eastAsia="宋体" w:hAnsi="宋体" w:cs="宋体" w:hint="eastAsia"/>
                <w:kern w:val="2"/>
                <w:sz w:val="21"/>
                <w:szCs w:val="21"/>
              </w:rPr>
              <w:t>1</w:t>
            </w:r>
          </w:p>
        </w:tc>
        <w:tc>
          <w:tcPr>
            <w:tcW w:w="148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举例：A公司</w:t>
            </w:r>
          </w:p>
        </w:tc>
        <w:tc>
          <w:tcPr>
            <w:tcW w:w="883" w:type="dxa"/>
          </w:tcPr>
          <w:p w:rsidR="004F4AA1" w:rsidRDefault="004F4AA1">
            <w:pPr>
              <w:widowControl w:val="0"/>
              <w:spacing w:after="0" w:line="360" w:lineRule="auto"/>
              <w:jc w:val="both"/>
              <w:rPr>
                <w:rFonts w:ascii="仿宋_GB2312" w:eastAsia="仿宋_GB2312" w:hAnsi="仿宋_GB2312" w:cs="仿宋_GB2312"/>
                <w:kern w:val="2"/>
                <w:sz w:val="21"/>
                <w:szCs w:val="24"/>
              </w:rPr>
            </w:pPr>
          </w:p>
        </w:tc>
        <w:tc>
          <w:tcPr>
            <w:tcW w:w="155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14:anchorId="4281E120" wp14:editId="0BA6731A">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4F4AA1" w:rsidRDefault="004F4AA1">
            <w:pPr>
              <w:widowControl w:val="0"/>
              <w:spacing w:after="0" w:line="360" w:lineRule="auto"/>
              <w:jc w:val="both"/>
              <w:rPr>
                <w:rFonts w:ascii="仿宋_GB2312" w:eastAsia="仿宋_GB2312" w:hAnsi="仿宋_GB2312" w:cs="仿宋_GB2312"/>
                <w:kern w:val="2"/>
                <w:sz w:val="21"/>
                <w:szCs w:val="21"/>
              </w:rPr>
            </w:pPr>
          </w:p>
        </w:tc>
        <w:tc>
          <w:tcPr>
            <w:tcW w:w="521" w:type="dxa"/>
          </w:tcPr>
          <w:p w:rsidR="004F4AA1" w:rsidRDefault="004F4AA1">
            <w:pPr>
              <w:widowControl w:val="0"/>
              <w:spacing w:after="0" w:line="360" w:lineRule="auto"/>
              <w:jc w:val="both"/>
              <w:rPr>
                <w:rFonts w:ascii="仿宋_GB2312" w:eastAsia="仿宋_GB2312" w:hAnsi="仿宋_GB2312" w:cs="仿宋_GB2312"/>
                <w:kern w:val="2"/>
                <w:sz w:val="21"/>
                <w:szCs w:val="21"/>
              </w:rPr>
            </w:pPr>
          </w:p>
        </w:tc>
        <w:tc>
          <w:tcPr>
            <w:tcW w:w="2194" w:type="dxa"/>
          </w:tcPr>
          <w:p w:rsidR="004F4AA1" w:rsidRDefault="00EF4052">
            <w:pPr>
              <w:widowControl w:val="0"/>
              <w:spacing w:after="0"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4F4AA1" w:rsidRDefault="004F4AA1">
            <w:pPr>
              <w:widowControl w:val="0"/>
              <w:spacing w:after="0" w:line="360" w:lineRule="auto"/>
              <w:jc w:val="both"/>
              <w:rPr>
                <w:rFonts w:ascii="仿宋_GB2312" w:eastAsia="仿宋_GB2312" w:hAnsi="仿宋_GB2312" w:cs="仿宋_GB2312"/>
                <w:kern w:val="2"/>
                <w:sz w:val="21"/>
                <w:szCs w:val="21"/>
              </w:rPr>
            </w:pPr>
          </w:p>
        </w:tc>
      </w:tr>
      <w:tr w:rsidR="004F4AA1">
        <w:tc>
          <w:tcPr>
            <w:tcW w:w="578"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宋体" w:eastAsia="宋体" w:hAnsi="宋体" w:cs="宋体" w:hint="eastAsia"/>
                <w:kern w:val="2"/>
                <w:sz w:val="21"/>
                <w:szCs w:val="21"/>
              </w:rPr>
              <w:t>2</w:t>
            </w:r>
          </w:p>
        </w:tc>
        <w:tc>
          <w:tcPr>
            <w:tcW w:w="148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14:anchorId="0B9A6432" wp14:editId="3D028B09">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4F4AA1" w:rsidRDefault="004F4AA1">
            <w:pPr>
              <w:widowControl w:val="0"/>
              <w:spacing w:after="0" w:line="360" w:lineRule="auto"/>
              <w:jc w:val="both"/>
              <w:rPr>
                <w:rFonts w:ascii="仿宋_GB2312" w:eastAsia="仿宋_GB2312" w:hAnsi="仿宋_GB2312" w:cs="仿宋_GB2312"/>
                <w:kern w:val="2"/>
                <w:sz w:val="21"/>
                <w:szCs w:val="24"/>
              </w:rPr>
            </w:pPr>
          </w:p>
        </w:tc>
        <w:tc>
          <w:tcPr>
            <w:tcW w:w="155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举例：B公司</w:t>
            </w:r>
          </w:p>
        </w:tc>
        <w:tc>
          <w:tcPr>
            <w:tcW w:w="783" w:type="dxa"/>
          </w:tcPr>
          <w:p w:rsidR="004F4AA1" w:rsidRDefault="004F4AA1">
            <w:pPr>
              <w:widowControl w:val="0"/>
              <w:spacing w:after="0" w:line="360" w:lineRule="auto"/>
              <w:jc w:val="both"/>
              <w:rPr>
                <w:rFonts w:ascii="仿宋_GB2312" w:eastAsia="仿宋_GB2312" w:hAnsi="仿宋_GB2312" w:cs="仿宋_GB2312"/>
                <w:kern w:val="2"/>
                <w:sz w:val="21"/>
                <w:szCs w:val="21"/>
              </w:rPr>
            </w:pPr>
          </w:p>
        </w:tc>
        <w:tc>
          <w:tcPr>
            <w:tcW w:w="521" w:type="dxa"/>
          </w:tcPr>
          <w:p w:rsidR="004F4AA1" w:rsidRDefault="004F4AA1">
            <w:pPr>
              <w:widowControl w:val="0"/>
              <w:spacing w:after="0" w:line="360" w:lineRule="auto"/>
              <w:jc w:val="both"/>
              <w:rPr>
                <w:rFonts w:ascii="仿宋_GB2312" w:eastAsia="仿宋_GB2312" w:hAnsi="仿宋_GB2312" w:cs="仿宋_GB2312"/>
                <w:kern w:val="2"/>
                <w:sz w:val="21"/>
                <w:szCs w:val="21"/>
              </w:rPr>
            </w:pPr>
          </w:p>
        </w:tc>
        <w:tc>
          <w:tcPr>
            <w:tcW w:w="2194"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1"/>
              </w:rPr>
              <w:t>××××</w:t>
            </w:r>
          </w:p>
        </w:tc>
        <w:tc>
          <w:tcPr>
            <w:tcW w:w="521" w:type="dxa"/>
          </w:tcPr>
          <w:p w:rsidR="004F4AA1" w:rsidRDefault="004F4AA1">
            <w:pPr>
              <w:widowControl w:val="0"/>
              <w:spacing w:after="0" w:line="360" w:lineRule="auto"/>
              <w:jc w:val="both"/>
              <w:rPr>
                <w:rFonts w:ascii="仿宋_GB2312" w:eastAsia="仿宋_GB2312" w:hAnsi="仿宋_GB2312" w:cs="仿宋_GB2312"/>
                <w:kern w:val="2"/>
                <w:sz w:val="21"/>
                <w:szCs w:val="21"/>
              </w:rPr>
            </w:pPr>
          </w:p>
        </w:tc>
      </w:tr>
      <w:tr w:rsidR="004F4AA1">
        <w:tc>
          <w:tcPr>
            <w:tcW w:w="578"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148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883" w:type="dxa"/>
          </w:tcPr>
          <w:p w:rsidR="004F4AA1" w:rsidRDefault="004F4AA1">
            <w:pPr>
              <w:widowControl w:val="0"/>
              <w:spacing w:after="0" w:line="360" w:lineRule="auto"/>
              <w:jc w:val="both"/>
              <w:rPr>
                <w:rFonts w:ascii="仿宋_GB2312" w:eastAsia="仿宋_GB2312" w:hAnsi="仿宋_GB2312" w:cs="仿宋_GB2312"/>
                <w:kern w:val="2"/>
                <w:sz w:val="21"/>
                <w:szCs w:val="24"/>
              </w:rPr>
            </w:pPr>
          </w:p>
        </w:tc>
        <w:tc>
          <w:tcPr>
            <w:tcW w:w="1556"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783" w:type="dxa"/>
          </w:tcPr>
          <w:p w:rsidR="004F4AA1" w:rsidRDefault="004F4AA1">
            <w:pPr>
              <w:widowControl w:val="0"/>
              <w:spacing w:after="0" w:line="360" w:lineRule="auto"/>
              <w:jc w:val="both"/>
              <w:rPr>
                <w:rFonts w:ascii="仿宋_GB2312" w:eastAsia="仿宋_GB2312" w:hAnsi="仿宋_GB2312" w:cs="仿宋_GB2312"/>
                <w:kern w:val="2"/>
                <w:sz w:val="21"/>
                <w:szCs w:val="24"/>
              </w:rPr>
            </w:pPr>
          </w:p>
        </w:tc>
        <w:tc>
          <w:tcPr>
            <w:tcW w:w="521" w:type="dxa"/>
          </w:tcPr>
          <w:p w:rsidR="004F4AA1" w:rsidRDefault="004F4AA1">
            <w:pPr>
              <w:widowControl w:val="0"/>
              <w:spacing w:after="0" w:line="360" w:lineRule="auto"/>
              <w:jc w:val="both"/>
              <w:rPr>
                <w:rFonts w:ascii="仿宋_GB2312" w:eastAsia="仿宋_GB2312" w:hAnsi="仿宋_GB2312" w:cs="仿宋_GB2312"/>
                <w:kern w:val="2"/>
                <w:sz w:val="21"/>
                <w:szCs w:val="24"/>
              </w:rPr>
            </w:pPr>
          </w:p>
        </w:tc>
        <w:tc>
          <w:tcPr>
            <w:tcW w:w="2194" w:type="dxa"/>
          </w:tcPr>
          <w:p w:rsidR="004F4AA1" w:rsidRDefault="00EF4052">
            <w:pPr>
              <w:widowControl w:val="0"/>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521" w:type="dxa"/>
          </w:tcPr>
          <w:p w:rsidR="004F4AA1" w:rsidRDefault="004F4AA1">
            <w:pPr>
              <w:widowControl w:val="0"/>
              <w:spacing w:after="0" w:line="360" w:lineRule="auto"/>
              <w:jc w:val="both"/>
              <w:rPr>
                <w:rFonts w:ascii="仿宋_GB2312" w:eastAsia="仿宋_GB2312" w:hAnsi="仿宋_GB2312" w:cs="仿宋_GB2312"/>
                <w:kern w:val="2"/>
                <w:sz w:val="21"/>
                <w:szCs w:val="24"/>
              </w:rPr>
            </w:pPr>
          </w:p>
        </w:tc>
      </w:tr>
    </w:tbl>
    <w:p w:rsidR="004F4AA1" w:rsidRDefault="004F4AA1">
      <w:pPr>
        <w:widowControl w:val="0"/>
        <w:spacing w:after="160" w:line="360" w:lineRule="auto"/>
        <w:ind w:firstLine="420"/>
        <w:rPr>
          <w:rFonts w:ascii="仿宋_GB2312" w:eastAsia="仿宋_GB2312" w:hAnsi="仿宋_GB2312" w:cs="仿宋_GB2312"/>
          <w:b/>
          <w:kern w:val="2"/>
          <w:sz w:val="21"/>
          <w:szCs w:val="21"/>
        </w:rPr>
      </w:pPr>
    </w:p>
    <w:p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rsidR="004F4AA1" w:rsidRDefault="004F4AA1">
      <w:pPr>
        <w:widowControl w:val="0"/>
        <w:spacing w:after="160" w:line="360" w:lineRule="auto"/>
        <w:ind w:firstLine="422"/>
        <w:jc w:val="center"/>
        <w:rPr>
          <w:rFonts w:ascii="仿宋_GB2312" w:eastAsia="仿宋_GB2312" w:hAnsi="仿宋_GB2312" w:cs="仿宋_GB2312"/>
          <w:b/>
          <w:kern w:val="2"/>
          <w:sz w:val="21"/>
          <w:szCs w:val="21"/>
        </w:rPr>
      </w:pPr>
    </w:p>
    <w:p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rsidR="004F4AA1" w:rsidRDefault="00EF4052">
      <w:pPr>
        <w:widowControl w:val="0"/>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w:t>
      </w:r>
    </w:p>
    <w:p w:rsidR="004F4AA1" w:rsidRDefault="00EF4052">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rsidR="004F4AA1" w:rsidRDefault="004F4AA1">
      <w:pPr>
        <w:widowControl w:val="0"/>
        <w:spacing w:after="160" w:line="360" w:lineRule="auto"/>
        <w:ind w:firstLine="422"/>
        <w:jc w:val="center"/>
        <w:rPr>
          <w:rFonts w:ascii="仿宋_GB2312" w:eastAsia="仿宋_GB2312" w:hAnsi="仿宋_GB2312" w:cs="仿宋_GB2312"/>
          <w:b/>
          <w:kern w:val="2"/>
          <w:sz w:val="21"/>
          <w:szCs w:val="21"/>
        </w:rPr>
      </w:pPr>
    </w:p>
    <w:p w:rsidR="004F4AA1" w:rsidRDefault="00EF4052">
      <w:pPr>
        <w:widowControl w:val="0"/>
        <w:spacing w:after="16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w:t>
      </w:r>
      <w:r>
        <w:rPr>
          <w:rFonts w:ascii="仿宋_GB2312" w:eastAsia="仿宋_GB2312" w:hAnsi="仿宋_GB2312" w:cs="仿宋_GB2312" w:hint="eastAsia"/>
          <w:b/>
          <w:kern w:val="2"/>
          <w:sz w:val="21"/>
          <w:szCs w:val="21"/>
        </w:rPr>
        <w:t>以下由被询证银行填列</w:t>
      </w:r>
      <w:r>
        <w:rPr>
          <w:rFonts w:ascii="仿宋_GB2312" w:eastAsia="仿宋_GB2312" w:hAnsi="仿宋_GB2312" w:cs="仿宋_GB2312" w:hint="eastAsia"/>
          <w:b/>
          <w:kern w:val="2"/>
          <w:sz w:val="21"/>
          <w:szCs w:val="21"/>
          <w:u w:val="single"/>
        </w:rPr>
        <w:t xml:space="preserve">                                                                                                              </w:t>
      </w:r>
    </w:p>
    <w:p w:rsidR="004F4AA1" w:rsidRDefault="00EF4052">
      <w:pPr>
        <w:widowControl w:val="0"/>
        <w:spacing w:after="16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2"/>
      </w:tblGrid>
      <w:tr w:rsidR="004F4AA1">
        <w:trPr>
          <w:trHeight w:val="1752"/>
        </w:trPr>
        <w:tc>
          <w:tcPr>
            <w:tcW w:w="8612" w:type="dxa"/>
          </w:tcPr>
          <w:p w:rsidR="004F4AA1" w:rsidRDefault="00EF4052">
            <w:pPr>
              <w:widowControl w:val="0"/>
              <w:autoSpaceDE w:val="0"/>
              <w:autoSpaceDN w:val="0"/>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rsidR="004F4AA1" w:rsidRDefault="00EF4052">
            <w:pPr>
              <w:widowControl w:val="0"/>
              <w:autoSpaceDE w:val="0"/>
              <w:autoSpaceDN w:val="0"/>
              <w:adjustRightInd w:val="0"/>
              <w:spacing w:after="160" w:line="500" w:lineRule="exact"/>
              <w:ind w:firstLineChars="637" w:firstLine="1343"/>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rsidR="004F4AA1" w:rsidRDefault="00EF4052">
            <w:pPr>
              <w:widowControl w:val="0"/>
              <w:autoSpaceDE w:val="0"/>
              <w:autoSpaceDN w:val="0"/>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rsidR="004F4AA1" w:rsidRDefault="00EF4052">
            <w:pPr>
              <w:widowControl w:val="0"/>
              <w:autoSpaceDE w:val="0"/>
              <w:autoSpaceDN w:val="0"/>
              <w:adjustRightInd w:val="0"/>
              <w:spacing w:after="16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4F4AA1" w:rsidRDefault="00EF4052">
            <w:pPr>
              <w:widowControl w:val="0"/>
              <w:autoSpaceDE w:val="0"/>
              <w:autoSpaceDN w:val="0"/>
              <w:adjustRightInd w:val="0"/>
              <w:spacing w:after="16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tc>
      </w:tr>
      <w:tr w:rsidR="004F4AA1">
        <w:trPr>
          <w:trHeight w:val="1386"/>
        </w:trPr>
        <w:tc>
          <w:tcPr>
            <w:tcW w:w="8612" w:type="dxa"/>
          </w:tcPr>
          <w:p w:rsidR="004F4AA1" w:rsidRDefault="00EF4052">
            <w:pPr>
              <w:widowControl w:val="0"/>
              <w:autoSpaceDE w:val="0"/>
              <w:autoSpaceDN w:val="0"/>
              <w:adjustRightInd w:val="0"/>
              <w:spacing w:after="16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rsidR="004F4AA1" w:rsidRDefault="004F4AA1">
            <w:pPr>
              <w:widowControl w:val="0"/>
              <w:autoSpaceDE w:val="0"/>
              <w:autoSpaceDN w:val="0"/>
              <w:adjustRightInd w:val="0"/>
              <w:spacing w:after="160" w:line="500" w:lineRule="exact"/>
              <w:ind w:firstLineChars="150" w:firstLine="316"/>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160" w:line="500" w:lineRule="exact"/>
              <w:ind w:firstLineChars="150" w:firstLine="316"/>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160" w:line="500" w:lineRule="exact"/>
              <w:jc w:val="both"/>
              <w:rPr>
                <w:rFonts w:ascii="仿宋_GB2312" w:eastAsia="仿宋_GB2312" w:hAnsi="仿宋_GB2312" w:cs="仿宋_GB2312"/>
                <w:b/>
                <w:sz w:val="21"/>
                <w:szCs w:val="21"/>
              </w:rPr>
            </w:pPr>
          </w:p>
          <w:p w:rsidR="004F4AA1" w:rsidRDefault="00EF4052">
            <w:pPr>
              <w:widowControl w:val="0"/>
              <w:autoSpaceDE w:val="0"/>
              <w:autoSpaceDN w:val="0"/>
              <w:adjustRightInd w:val="0"/>
              <w:spacing w:after="160" w:line="500" w:lineRule="exact"/>
              <w:ind w:firstLineChars="736" w:firstLine="1552"/>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rsidR="004F4AA1" w:rsidRDefault="00EF4052">
            <w:pPr>
              <w:widowControl w:val="0"/>
              <w:autoSpaceDE w:val="0"/>
              <w:autoSpaceDN w:val="0"/>
              <w:adjustRightInd w:val="0"/>
              <w:spacing w:after="160" w:line="500" w:lineRule="exact"/>
              <w:ind w:firstLineChars="50" w:firstLine="10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rsidR="004F4AA1" w:rsidRDefault="00EF4052">
            <w:pPr>
              <w:widowControl w:val="0"/>
              <w:autoSpaceDE w:val="0"/>
              <w:autoSpaceDN w:val="0"/>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   </w:t>
            </w:r>
          </w:p>
        </w:tc>
      </w:tr>
    </w:tbl>
    <w:p w:rsidR="004F4AA1" w:rsidRDefault="004F4AA1">
      <w:pPr>
        <w:tabs>
          <w:tab w:val="left" w:pos="1890"/>
        </w:tabs>
        <w:spacing w:after="0" w:line="240" w:lineRule="auto"/>
        <w:rPr>
          <w:rFonts w:ascii="仿宋_GB2312" w:eastAsia="仿宋_GB2312" w:hAnsi="仿宋_GB2312" w:cs="仿宋_GB2312"/>
          <w:b/>
          <w:kern w:val="2"/>
          <w:sz w:val="28"/>
          <w:szCs w:val="28"/>
        </w:rPr>
      </w:pPr>
    </w:p>
    <w:p w:rsidR="004F4AA1" w:rsidRDefault="00EF4052">
      <w:pPr>
        <w:tabs>
          <w:tab w:val="left" w:pos="1890"/>
        </w:tabs>
        <w:spacing w:after="0" w:line="240" w:lineRule="auto"/>
        <w:rPr>
          <w:rFonts w:ascii="宋体" w:eastAsia="宋体" w:hAnsi="宋体" w:cs="宋体"/>
          <w:kern w:val="2"/>
          <w:sz w:val="28"/>
          <w:szCs w:val="28"/>
        </w:rPr>
      </w:pPr>
      <w:r>
        <w:rPr>
          <w:rFonts w:ascii="仿宋_GB2312" w:eastAsia="仿宋_GB2312" w:hAnsi="仿宋_GB2312" w:cs="仿宋_GB2312" w:hint="eastAsia"/>
          <w:kern w:val="2"/>
          <w:sz w:val="28"/>
          <w:szCs w:val="28"/>
        </w:rPr>
        <w:lastRenderedPageBreak/>
        <w:t>附</w:t>
      </w:r>
      <w:r>
        <w:rPr>
          <w:rFonts w:ascii="宋体" w:eastAsia="宋体" w:hAnsi="宋体" w:cs="宋体" w:hint="eastAsia"/>
          <w:kern w:val="2"/>
          <w:sz w:val="28"/>
          <w:szCs w:val="28"/>
        </w:rPr>
        <w:t>2</w:t>
      </w:r>
    </w:p>
    <w:p w:rsidR="004F4AA1" w:rsidRDefault="00EF4052">
      <w:pPr>
        <w:pStyle w:val="1"/>
        <w:spacing w:before="0" w:line="580" w:lineRule="exact"/>
        <w:ind w:firstLineChars="800" w:firstLine="2570"/>
        <w:rPr>
          <w:rFonts w:ascii="仿宋_GB2312" w:eastAsia="仿宋_GB2312" w:hAnsi="仿宋_GB2312" w:cs="仿宋_GB2312"/>
          <w:sz w:val="32"/>
          <w:szCs w:val="32"/>
        </w:rPr>
      </w:pPr>
      <w:r>
        <w:rPr>
          <w:rFonts w:ascii="仿宋_GB2312" w:eastAsia="仿宋_GB2312" w:hAnsi="仿宋_GB2312" w:cs="仿宋_GB2312" w:hint="eastAsia"/>
          <w:sz w:val="32"/>
          <w:szCs w:val="32"/>
        </w:rPr>
        <w:t>银行询证函（格式二）</w:t>
      </w:r>
    </w:p>
    <w:p w:rsidR="004F4AA1" w:rsidRDefault="00EF4052">
      <w:pPr>
        <w:widowControl w:val="0"/>
        <w:spacing w:after="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4F4AA1" w:rsidRDefault="004F4AA1">
      <w:pPr>
        <w:widowControl w:val="0"/>
        <w:spacing w:after="0" w:line="440" w:lineRule="exact"/>
        <w:ind w:right="420" w:firstLineChars="3200" w:firstLine="7680"/>
        <w:jc w:val="both"/>
        <w:rPr>
          <w:rFonts w:ascii="仿宋_GB2312" w:eastAsia="仿宋_GB2312" w:hAnsi="仿宋_GB2312" w:cs="仿宋_GB2312"/>
          <w:kern w:val="2"/>
          <w:sz w:val="24"/>
          <w:szCs w:val="24"/>
        </w:rPr>
      </w:pPr>
    </w:p>
    <w:p w:rsidR="004F4AA1" w:rsidRDefault="00EF4052">
      <w:pPr>
        <w:widowControl w:val="0"/>
        <w:spacing w:after="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 [</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]的要求，应当询证截至[____年____月____日] （即“函证基准日”）本公司与贵行相关的信息。请填写下列第</w:t>
      </w:r>
      <w:r>
        <w:rPr>
          <w:rFonts w:ascii="宋体" w:eastAsia="宋体" w:hAnsi="宋体" w:cs="宋体" w:hint="eastAsia"/>
          <w:kern w:val="2"/>
          <w:sz w:val="24"/>
          <w:szCs w:val="24"/>
        </w:rPr>
        <w:t>1-14</w:t>
      </w:r>
      <w:r>
        <w:rPr>
          <w:rFonts w:ascii="仿宋_GB2312" w:eastAsia="仿宋_GB2312" w:hAnsi="仿宋_GB2312" w:cs="仿宋_GB2312" w:hint="eastAsia"/>
          <w:kern w:val="2"/>
          <w:sz w:val="24"/>
          <w:szCs w:val="24"/>
        </w:rPr>
        <w:t>项及附表（如适用）中的表格</w:t>
      </w:r>
      <w:r>
        <w:rPr>
          <w:rStyle w:val="af0"/>
          <w:rFonts w:ascii="仿宋_GB2312" w:eastAsia="仿宋_GB2312" w:hAnsi="仿宋_GB2312" w:cs="仿宋_GB2312" w:hint="eastAsia"/>
          <w:kern w:val="2"/>
          <w:sz w:val="24"/>
          <w:szCs w:val="24"/>
        </w:rPr>
        <w:footnoteReference w:id="5"/>
      </w:r>
      <w:r>
        <w:rPr>
          <w:rFonts w:ascii="仿宋_GB2312" w:eastAsia="仿宋_GB2312" w:hAnsi="仿宋_GB2312" w:cs="仿宋_GB2312" w:hint="eastAsia"/>
          <w:kern w:val="2"/>
          <w:sz w:val="24"/>
          <w:szCs w:val="24"/>
        </w:rPr>
        <w:t>，并[签字和盖章] 或[签发电子签名]</w:t>
      </w:r>
      <w:r>
        <w:rPr>
          <w:rFonts w:ascii="仿宋_GB2312" w:eastAsia="仿宋_GB2312" w:hAnsi="仿宋_GB2312" w:cs="仿宋_GB2312" w:hint="eastAsia"/>
          <w:kern w:val="2"/>
          <w:sz w:val="24"/>
          <w:szCs w:val="24"/>
          <w:vertAlign w:val="superscript"/>
        </w:rPr>
        <w:footnoteReference w:id="6"/>
      </w:r>
      <w:r>
        <w:rPr>
          <w:rFonts w:ascii="仿宋_GB2312" w:eastAsia="仿宋_GB2312" w:hAnsi="仿宋_GB2312" w:cs="仿宋_GB2312" w:hint="eastAsia"/>
          <w:kern w:val="2"/>
          <w:sz w:val="24"/>
          <w:szCs w:val="24"/>
        </w:rPr>
        <w:t>。</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7"/>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8"/>
      </w:r>
      <w:r>
        <w:rPr>
          <w:rFonts w:ascii="仿宋_GB2312" w:eastAsia="仿宋_GB2312" w:hAnsi="仿宋_GB2312" w:cs="仿宋_GB2312" w:hint="eastAsia"/>
          <w:kern w:val="2"/>
          <w:sz w:val="24"/>
          <w:szCs w:val="24"/>
        </w:rPr>
        <w:t>如下：</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本公司谨授权贵行可从本公司××账户支取办理本询证函回函服务的费用（如适用）。</w:t>
      </w:r>
    </w:p>
    <w:p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rsidR="004F4AA1" w:rsidRDefault="00EF4052">
      <w:pPr>
        <w:widowControl w:val="0"/>
        <w:spacing w:after="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rsidR="004F4AA1" w:rsidRDefault="004F4AA1">
      <w:pPr>
        <w:rPr>
          <w:rFonts w:ascii="仿宋_GB2312" w:eastAsia="仿宋_GB2312" w:hAnsi="仿宋_GB2312" w:cs="仿宋_GB2312"/>
          <w:b/>
          <w:kern w:val="2"/>
          <w:sz w:val="20"/>
          <w:szCs w:val="21"/>
          <w:u w:val="single"/>
        </w:rPr>
      </w:pPr>
    </w:p>
    <w:p w:rsidR="004F4AA1" w:rsidRDefault="004F4AA1">
      <w:pPr>
        <w:rPr>
          <w:rFonts w:ascii="仿宋_GB2312" w:eastAsia="仿宋_GB2312" w:hAnsi="仿宋_GB2312" w:cs="仿宋_GB2312"/>
          <w:b/>
          <w:kern w:val="2"/>
          <w:sz w:val="20"/>
          <w:szCs w:val="21"/>
          <w:u w:val="single"/>
        </w:rPr>
      </w:pPr>
    </w:p>
    <w:p w:rsidR="004F4AA1" w:rsidRDefault="004F4AA1">
      <w:pPr>
        <w:rPr>
          <w:rFonts w:ascii="仿宋_GB2312" w:eastAsia="仿宋_GB2312" w:hAnsi="仿宋_GB2312" w:cs="仿宋_GB2312"/>
          <w:b/>
          <w:kern w:val="2"/>
          <w:sz w:val="20"/>
          <w:szCs w:val="21"/>
          <w:u w:val="single"/>
        </w:rPr>
      </w:pPr>
    </w:p>
    <w:p w:rsidR="004F4AA1" w:rsidRDefault="00EF4052">
      <w:pPr>
        <w:widowControl w:val="0"/>
        <w:spacing w:after="0"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lastRenderedPageBreak/>
        <w:t xml:space="preserve">                         </w:t>
      </w:r>
      <w:r>
        <w:rPr>
          <w:rFonts w:ascii="仿宋_GB2312" w:eastAsia="仿宋_GB2312" w:hAnsi="仿宋_GB2312" w:cs="仿宋_GB2312" w:hint="eastAsia"/>
          <w:b/>
          <w:kern w:val="2"/>
          <w:sz w:val="21"/>
          <w:szCs w:val="21"/>
        </w:rPr>
        <w:t>以下由被询证银行填列</w:t>
      </w:r>
      <w:r>
        <w:rPr>
          <w:rFonts w:ascii="仿宋_GB2312" w:eastAsia="仿宋_GB2312" w:hAnsi="仿宋_GB2312" w:cs="仿宋_GB2312" w:hint="eastAsia"/>
          <w:b/>
          <w:kern w:val="2"/>
          <w:sz w:val="21"/>
          <w:szCs w:val="21"/>
          <w:u w:val="single"/>
        </w:rPr>
        <w:t xml:space="preserve">                                                                                                              </w:t>
      </w:r>
    </w:p>
    <w:p w:rsidR="004F4AA1" w:rsidRDefault="004F4AA1">
      <w:pPr>
        <w:widowControl w:val="0"/>
        <w:spacing w:after="0" w:line="440" w:lineRule="exact"/>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31"/>
        <w:gridCol w:w="472"/>
        <w:gridCol w:w="482"/>
        <w:gridCol w:w="540"/>
        <w:gridCol w:w="561"/>
        <w:gridCol w:w="1321"/>
        <w:gridCol w:w="946"/>
        <w:gridCol w:w="839"/>
        <w:gridCol w:w="1350"/>
        <w:gridCol w:w="556"/>
      </w:tblGrid>
      <w:tr w:rsidR="004F4AA1">
        <w:trPr>
          <w:jc w:val="center"/>
        </w:trPr>
        <w:tc>
          <w:tcPr>
            <w:tcW w:w="72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3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7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8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54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56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132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94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83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终止日期</w:t>
            </w:r>
          </w:p>
        </w:tc>
        <w:tc>
          <w:tcPr>
            <w:tcW w:w="135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是否存在冻结、担保或其他使用限制（如是，请注明）</w:t>
            </w:r>
          </w:p>
        </w:tc>
        <w:tc>
          <w:tcPr>
            <w:tcW w:w="55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jc w:val="center"/>
        </w:trPr>
        <w:tc>
          <w:tcPr>
            <w:tcW w:w="72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7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8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4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6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2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3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5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5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jc w:val="center"/>
        </w:trPr>
        <w:tc>
          <w:tcPr>
            <w:tcW w:w="72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7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48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4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6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2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3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5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55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699"/>
        <w:gridCol w:w="709"/>
        <w:gridCol w:w="680"/>
        <w:gridCol w:w="740"/>
        <w:gridCol w:w="844"/>
        <w:gridCol w:w="844"/>
        <w:gridCol w:w="1837"/>
        <w:gridCol w:w="915"/>
      </w:tblGrid>
      <w:tr w:rsidR="004F4AA1">
        <w:trPr>
          <w:trHeight w:val="897"/>
          <w:jc w:val="center"/>
        </w:trPr>
        <w:tc>
          <w:tcPr>
            <w:tcW w:w="1254"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699"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7"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rsidR="004F4AA1" w:rsidRDefault="00EF4052">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459"/>
          <w:jc w:val="center"/>
        </w:trPr>
        <w:tc>
          <w:tcPr>
            <w:tcW w:w="1254"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r>
      <w:tr w:rsidR="004F4AA1">
        <w:trPr>
          <w:trHeight w:val="459"/>
          <w:jc w:val="center"/>
        </w:trPr>
        <w:tc>
          <w:tcPr>
            <w:tcW w:w="1254"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99" w:type="dxa"/>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09"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680"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740"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1837"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c>
          <w:tcPr>
            <w:tcW w:w="915" w:type="dxa"/>
            <w:vAlign w:val="center"/>
          </w:tcPr>
          <w:p w:rsidR="004F4AA1" w:rsidRDefault="004F4AA1">
            <w:pPr>
              <w:widowControl w:val="0"/>
              <w:spacing w:after="0" w:line="360" w:lineRule="auto"/>
              <w:ind w:leftChars="-124" w:left="-273" w:firstLineChars="50" w:firstLine="105"/>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3．</w:t>
      </w:r>
      <w:r>
        <w:rPr>
          <w:rFonts w:ascii="仿宋_GB2312" w:eastAsia="仿宋_GB2312" w:hAnsi="仿宋_GB2312" w:cs="仿宋_GB2312" w:hint="eastAsia"/>
          <w:kern w:val="2"/>
          <w:sz w:val="21"/>
          <w:szCs w:val="21"/>
        </w:rPr>
        <w:t>自</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日起至</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年</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月</w:t>
      </w:r>
      <w:r>
        <w:rPr>
          <w:rFonts w:ascii="仿宋_GB2312" w:eastAsia="仿宋_GB2312" w:hAnsi="仿宋_GB2312" w:cs="仿宋_GB2312" w:hint="eastAsia"/>
          <w:kern w:val="2"/>
          <w:sz w:val="21"/>
          <w:szCs w:val="21"/>
          <w:u w:val="single"/>
        </w:rPr>
        <w:t xml:space="preserve">   </w:t>
      </w:r>
      <w:r>
        <w:rPr>
          <w:rFonts w:ascii="仿宋_GB2312" w:eastAsia="仿宋_GB2312" w:hAnsi="仿宋_GB2312" w:cs="仿宋_GB2312" w:hint="eastAsia"/>
          <w:kern w:val="2"/>
          <w:sz w:val="21"/>
          <w:szCs w:val="21"/>
        </w:rPr>
        <w:t>日期间内注销的银行存款账户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36"/>
        <w:gridCol w:w="1766"/>
        <w:gridCol w:w="2362"/>
      </w:tblGrid>
      <w:tr w:rsidR="004F4AA1">
        <w:trPr>
          <w:trHeight w:val="209"/>
          <w:jc w:val="center"/>
        </w:trPr>
        <w:tc>
          <w:tcPr>
            <w:tcW w:w="275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3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6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4F4AA1">
        <w:trPr>
          <w:trHeight w:val="162"/>
          <w:jc w:val="center"/>
        </w:trPr>
        <w:tc>
          <w:tcPr>
            <w:tcW w:w="275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162"/>
          <w:jc w:val="center"/>
        </w:trPr>
        <w:tc>
          <w:tcPr>
            <w:tcW w:w="275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3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6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3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6"/>
        <w:gridCol w:w="975"/>
        <w:gridCol w:w="1104"/>
        <w:gridCol w:w="695"/>
        <w:gridCol w:w="982"/>
        <w:gridCol w:w="966"/>
        <w:gridCol w:w="1531"/>
        <w:gridCol w:w="973"/>
      </w:tblGrid>
      <w:tr w:rsidR="004F4AA1">
        <w:trPr>
          <w:trHeight w:val="203"/>
          <w:jc w:val="center"/>
        </w:trPr>
        <w:tc>
          <w:tcPr>
            <w:tcW w:w="129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7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0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69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98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3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7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203"/>
          <w:jc w:val="center"/>
        </w:trPr>
        <w:tc>
          <w:tcPr>
            <w:tcW w:w="129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0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9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203"/>
          <w:jc w:val="center"/>
        </w:trPr>
        <w:tc>
          <w:tcPr>
            <w:tcW w:w="129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0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9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3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7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lastRenderedPageBreak/>
        <w:t>5．</w:t>
      </w:r>
      <w:r>
        <w:rPr>
          <w:rFonts w:ascii="仿宋_GB2312" w:eastAsia="仿宋_GB2312" w:hAnsi="仿宋_GB2312" w:cs="仿宋_GB2312" w:hint="eastAsia"/>
          <w:kern w:val="2"/>
          <w:sz w:val="21"/>
          <w:szCs w:val="21"/>
        </w:rPr>
        <w:t>本公司作为借款人的委托贷款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29"/>
        <w:gridCol w:w="983"/>
        <w:gridCol w:w="702"/>
        <w:gridCol w:w="844"/>
        <w:gridCol w:w="1125"/>
        <w:gridCol w:w="1546"/>
        <w:gridCol w:w="1087"/>
      </w:tblGrid>
      <w:tr w:rsidR="004F4AA1">
        <w:trPr>
          <w:trHeight w:val="203"/>
          <w:jc w:val="center"/>
        </w:trPr>
        <w:tc>
          <w:tcPr>
            <w:tcW w:w="130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2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8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2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4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87"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203"/>
          <w:jc w:val="center"/>
        </w:trPr>
        <w:tc>
          <w:tcPr>
            <w:tcW w:w="130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203"/>
          <w:jc w:val="center"/>
        </w:trPr>
        <w:tc>
          <w:tcPr>
            <w:tcW w:w="130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83"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0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4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46"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6．</w:t>
      </w:r>
      <w:r>
        <w:rPr>
          <w:rFonts w:ascii="仿宋_GB2312" w:eastAsia="仿宋_GB2312" w:hAnsi="仿宋_GB2312" w:cs="仿宋_GB2312" w:hint="eastAsia"/>
          <w:kern w:val="2"/>
          <w:sz w:val="21"/>
          <w:szCs w:val="21"/>
        </w:rPr>
        <w:t>担保</w:t>
      </w: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7"/>
        <w:gridCol w:w="949"/>
        <w:gridCol w:w="1125"/>
        <w:gridCol w:w="1125"/>
        <w:gridCol w:w="1110"/>
        <w:gridCol w:w="1384"/>
        <w:gridCol w:w="1082"/>
      </w:tblGrid>
      <w:tr w:rsidR="004F4AA1">
        <w:trPr>
          <w:cantSplit/>
          <w:trHeight w:val="232"/>
          <w:jc w:val="center"/>
        </w:trPr>
        <w:tc>
          <w:tcPr>
            <w:tcW w:w="1747" w:type="dxa"/>
            <w:vAlign w:val="center"/>
          </w:tcPr>
          <w:p w:rsidR="004F4AA1" w:rsidRDefault="00EF4052" w:rsidP="00A07679">
            <w:pPr>
              <w:widowControl w:val="0"/>
              <w:spacing w:after="0"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38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108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cantSplit/>
          <w:trHeight w:val="232"/>
          <w:jc w:val="center"/>
        </w:trPr>
        <w:tc>
          <w:tcPr>
            <w:tcW w:w="174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8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cantSplit/>
          <w:trHeight w:val="232"/>
          <w:jc w:val="center"/>
        </w:trPr>
        <w:tc>
          <w:tcPr>
            <w:tcW w:w="1747"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4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2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1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38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8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tbl>
      <w:tblPr>
        <w:tblpPr w:leftFromText="180" w:rightFromText="180" w:vertAnchor="text" w:horzAnchor="margin" w:tblpXSpec="center" w:tblpY="303"/>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762"/>
        <w:gridCol w:w="1222"/>
        <w:gridCol w:w="1222"/>
        <w:gridCol w:w="1222"/>
        <w:gridCol w:w="1498"/>
        <w:gridCol w:w="924"/>
      </w:tblGrid>
      <w:tr w:rsidR="004F4AA1">
        <w:trPr>
          <w:cantSplit/>
          <w:trHeight w:val="251"/>
        </w:trPr>
        <w:tc>
          <w:tcPr>
            <w:tcW w:w="1672" w:type="dxa"/>
            <w:vAlign w:val="center"/>
          </w:tcPr>
          <w:p w:rsidR="004F4AA1" w:rsidRDefault="00EF4052" w:rsidP="00A07679">
            <w:pPr>
              <w:widowControl w:val="0"/>
              <w:spacing w:after="0" w:line="360" w:lineRule="auto"/>
              <w:ind w:leftChars="-28" w:left="-3"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76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cantSplit/>
          <w:trHeight w:val="251"/>
        </w:trPr>
        <w:tc>
          <w:tcPr>
            <w:tcW w:w="167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cantSplit/>
          <w:trHeight w:val="251"/>
        </w:trPr>
        <w:tc>
          <w:tcPr>
            <w:tcW w:w="167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22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9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4"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3"/>
        <w:gridCol w:w="1529"/>
        <w:gridCol w:w="658"/>
        <w:gridCol w:w="1093"/>
        <w:gridCol w:w="876"/>
        <w:gridCol w:w="876"/>
        <w:gridCol w:w="1527"/>
      </w:tblGrid>
      <w:tr w:rsidR="004F4AA1">
        <w:trPr>
          <w:jc w:val="center"/>
        </w:trPr>
        <w:tc>
          <w:tcPr>
            <w:tcW w:w="1963"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529"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658"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93"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876"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76"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27"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4F4AA1">
        <w:trPr>
          <w:jc w:val="center"/>
        </w:trPr>
        <w:tc>
          <w:tcPr>
            <w:tcW w:w="196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5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7"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jc w:val="center"/>
        </w:trPr>
        <w:tc>
          <w:tcPr>
            <w:tcW w:w="196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658"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9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7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27"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br w:type="page"/>
      </w:r>
      <w:r>
        <w:rPr>
          <w:rFonts w:ascii="宋体" w:eastAsia="宋体" w:hAnsi="宋体" w:cs="宋体" w:hint="eastAsia"/>
          <w:kern w:val="2"/>
          <w:sz w:val="21"/>
          <w:szCs w:val="21"/>
        </w:rPr>
        <w:lastRenderedPageBreak/>
        <w:t>8．</w:t>
      </w:r>
      <w:r>
        <w:rPr>
          <w:rFonts w:ascii="仿宋_GB2312" w:eastAsia="仿宋_GB2312" w:hAnsi="仿宋_GB2312" w:cs="仿宋_GB2312" w:hint="eastAsia"/>
          <w:kern w:val="2"/>
          <w:sz w:val="21"/>
          <w:szCs w:val="21"/>
        </w:rPr>
        <w:t>本公司向贵行已贴现而尚未到期的商业汇票</w:t>
      </w:r>
    </w:p>
    <w:tbl>
      <w:tblPr>
        <w:tblW w:w="8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850"/>
        <w:gridCol w:w="755"/>
        <w:gridCol w:w="755"/>
        <w:gridCol w:w="862"/>
        <w:gridCol w:w="851"/>
        <w:gridCol w:w="850"/>
        <w:gridCol w:w="851"/>
        <w:gridCol w:w="1008"/>
      </w:tblGrid>
      <w:tr w:rsidR="004F4AA1">
        <w:trPr>
          <w:trHeight w:val="1144"/>
          <w:jc w:val="center"/>
        </w:trPr>
        <w:tc>
          <w:tcPr>
            <w:tcW w:w="140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85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55" w:type="dxa"/>
            <w:vAlign w:val="center"/>
          </w:tcPr>
          <w:p w:rsidR="004F4AA1" w:rsidRDefault="00EF4052">
            <w:pPr>
              <w:widowControl w:val="0"/>
              <w:spacing w:before="240"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5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862"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5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85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85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1008"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4F4AA1">
        <w:trPr>
          <w:trHeight w:val="117"/>
          <w:jc w:val="center"/>
        </w:trPr>
        <w:tc>
          <w:tcPr>
            <w:tcW w:w="140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117"/>
          <w:jc w:val="center"/>
        </w:trPr>
        <w:tc>
          <w:tcPr>
            <w:tcW w:w="1409"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55"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62"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0"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851"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08" w:type="dxa"/>
            <w:vAlign w:val="center"/>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561"/>
        <w:gridCol w:w="992"/>
        <w:gridCol w:w="1416"/>
        <w:gridCol w:w="1133"/>
        <w:gridCol w:w="1611"/>
      </w:tblGrid>
      <w:tr w:rsidR="004F4AA1">
        <w:trPr>
          <w:trHeight w:val="587"/>
        </w:trPr>
        <w:tc>
          <w:tcPr>
            <w:tcW w:w="180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商业汇票号码</w:t>
            </w:r>
          </w:p>
        </w:tc>
        <w:tc>
          <w:tcPr>
            <w:tcW w:w="156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992" w:type="dxa"/>
            <w:vAlign w:val="center"/>
          </w:tcPr>
          <w:p w:rsidR="004F4AA1" w:rsidRDefault="00EF4052">
            <w:pPr>
              <w:widowControl w:val="0"/>
              <w:spacing w:after="0"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1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13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611"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4F4AA1">
        <w:trPr>
          <w:trHeight w:val="300"/>
        </w:trPr>
        <w:tc>
          <w:tcPr>
            <w:tcW w:w="180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1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1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300"/>
        </w:trPr>
        <w:tc>
          <w:tcPr>
            <w:tcW w:w="180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6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92"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1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3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611"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704"/>
        <w:gridCol w:w="925"/>
        <w:gridCol w:w="1444"/>
        <w:gridCol w:w="1156"/>
        <w:gridCol w:w="1589"/>
      </w:tblGrid>
      <w:tr w:rsidR="004F4AA1">
        <w:trPr>
          <w:trHeight w:val="748"/>
        </w:trPr>
        <w:tc>
          <w:tcPr>
            <w:tcW w:w="170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信用证号码</w:t>
            </w:r>
          </w:p>
        </w:tc>
        <w:tc>
          <w:tcPr>
            <w:tcW w:w="170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925" w:type="dxa"/>
            <w:vAlign w:val="center"/>
          </w:tcPr>
          <w:p w:rsidR="004F4AA1" w:rsidRDefault="00EF4052">
            <w:pPr>
              <w:widowControl w:val="0"/>
              <w:spacing w:after="0" w:line="60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4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15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89"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4F4AA1">
        <w:trPr>
          <w:trHeight w:val="374"/>
        </w:trPr>
        <w:tc>
          <w:tcPr>
            <w:tcW w:w="170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0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8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383"/>
        </w:trPr>
        <w:tc>
          <w:tcPr>
            <w:tcW w:w="170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0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2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589"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1154"/>
        <w:gridCol w:w="960"/>
        <w:gridCol w:w="960"/>
        <w:gridCol w:w="1986"/>
        <w:gridCol w:w="770"/>
        <w:gridCol w:w="1026"/>
      </w:tblGrid>
      <w:tr w:rsidR="004F4AA1">
        <w:trPr>
          <w:trHeight w:val="818"/>
        </w:trPr>
        <w:tc>
          <w:tcPr>
            <w:tcW w:w="16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0" w:type="dxa"/>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贵行买入币种</w:t>
            </w:r>
          </w:p>
        </w:tc>
        <w:tc>
          <w:tcPr>
            <w:tcW w:w="198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02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4F4AA1">
        <w:trPr>
          <w:trHeight w:val="409"/>
        </w:trPr>
        <w:tc>
          <w:tcPr>
            <w:tcW w:w="16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2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592"/>
        </w:trPr>
        <w:tc>
          <w:tcPr>
            <w:tcW w:w="16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96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98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770"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2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1733"/>
        <w:gridCol w:w="1444"/>
        <w:gridCol w:w="1156"/>
        <w:gridCol w:w="2166"/>
      </w:tblGrid>
      <w:tr w:rsidR="004F4AA1">
        <w:trPr>
          <w:trHeight w:val="463"/>
        </w:trPr>
        <w:tc>
          <w:tcPr>
            <w:tcW w:w="202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33"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44"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15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4F4AA1">
        <w:trPr>
          <w:trHeight w:val="141"/>
        </w:trPr>
        <w:tc>
          <w:tcPr>
            <w:tcW w:w="202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3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1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141"/>
        </w:trPr>
        <w:tc>
          <w:tcPr>
            <w:tcW w:w="202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733"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444"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15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21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13.</w:t>
      </w:r>
      <w:r>
        <w:rPr>
          <w:rFonts w:ascii="仿宋_GB2312" w:eastAsia="仿宋_GB2312" w:hAnsi="仿宋_GB2312" w:cs="仿宋_GB2312" w:hint="eastAsia"/>
          <w:kern w:val="2"/>
          <w:sz w:val="21"/>
          <w:szCs w:val="21"/>
        </w:rPr>
        <w:t xml:space="preserve"> 本公司购买的由贵行发行的未到期银行理财产品</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6"/>
        <w:gridCol w:w="1066"/>
        <w:gridCol w:w="1065"/>
        <w:gridCol w:w="1065"/>
        <w:gridCol w:w="1065"/>
        <w:gridCol w:w="1065"/>
        <w:gridCol w:w="1065"/>
        <w:gridCol w:w="1065"/>
      </w:tblGrid>
      <w:tr w:rsidR="004F4AA1">
        <w:trPr>
          <w:trHeight w:val="788"/>
        </w:trPr>
        <w:tc>
          <w:tcPr>
            <w:tcW w:w="10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066"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rsidR="004F4AA1" w:rsidRDefault="00EF4052">
            <w:pPr>
              <w:widowControl w:val="0"/>
              <w:spacing w:after="0"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4F4AA1">
        <w:trPr>
          <w:trHeight w:val="389"/>
        </w:trPr>
        <w:tc>
          <w:tcPr>
            <w:tcW w:w="10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r w:rsidR="004F4AA1">
        <w:trPr>
          <w:trHeight w:val="399"/>
        </w:trPr>
        <w:tc>
          <w:tcPr>
            <w:tcW w:w="10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6"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c>
          <w:tcPr>
            <w:tcW w:w="1065" w:type="dxa"/>
          </w:tcPr>
          <w:p w:rsidR="004F4AA1" w:rsidRDefault="004F4AA1">
            <w:pPr>
              <w:widowControl w:val="0"/>
              <w:spacing w:after="0" w:line="360" w:lineRule="auto"/>
              <w:jc w:val="center"/>
              <w:rPr>
                <w:rFonts w:ascii="仿宋_GB2312" w:eastAsia="仿宋_GB2312" w:hAnsi="仿宋_GB2312" w:cs="仿宋_GB2312"/>
                <w:kern w:val="2"/>
                <w:sz w:val="21"/>
                <w:szCs w:val="21"/>
              </w:rPr>
            </w:pPr>
          </w:p>
        </w:tc>
      </w:tr>
    </w:tbl>
    <w:p w:rsidR="004F4AA1" w:rsidRDefault="004F4AA1">
      <w:pPr>
        <w:widowControl w:val="0"/>
        <w:spacing w:after="0" w:line="360" w:lineRule="auto"/>
        <w:ind w:firstLineChars="200" w:firstLine="420"/>
        <w:jc w:val="both"/>
        <w:rPr>
          <w:rFonts w:ascii="仿宋_GB2312" w:eastAsia="仿宋_GB2312" w:hAnsi="仿宋_GB2312" w:cs="仿宋_GB2312"/>
          <w:kern w:val="2"/>
          <w:sz w:val="21"/>
          <w:szCs w:val="21"/>
        </w:rPr>
      </w:pPr>
    </w:p>
    <w:p w:rsidR="004F4AA1" w:rsidRDefault="00EF4052">
      <w:pPr>
        <w:widowControl w:val="0"/>
        <w:spacing w:after="0" w:line="360" w:lineRule="auto"/>
        <w:ind w:firstLineChars="200" w:firstLine="420"/>
        <w:jc w:val="both"/>
        <w:rPr>
          <w:rFonts w:ascii="仿宋_GB2312" w:eastAsia="仿宋_GB2312" w:hAnsi="仿宋_GB2312" w:cs="仿宋_GB2312"/>
          <w:kern w:val="2"/>
          <w:sz w:val="21"/>
          <w:szCs w:val="21"/>
        </w:rPr>
      </w:pPr>
      <w:r>
        <w:rPr>
          <w:rFonts w:ascii="宋体" w:eastAsia="宋体" w:hAnsi="宋体" w:cs="宋体" w:hint="eastAsia"/>
          <w:kern w:val="2"/>
          <w:sz w:val="21"/>
          <w:szCs w:val="21"/>
        </w:rPr>
        <w:t>14．</w:t>
      </w:r>
      <w:r>
        <w:rPr>
          <w:rFonts w:ascii="仿宋_GB2312" w:eastAsia="仿宋_GB2312" w:hAnsi="仿宋_GB2312" w:cs="仿宋_GB2312" w:hint="eastAsia"/>
          <w:kern w:val="2"/>
          <w:sz w:val="21"/>
          <w:szCs w:val="21"/>
        </w:rPr>
        <w:t>其他</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F4AA1">
        <w:trPr>
          <w:trHeight w:val="648"/>
        </w:trPr>
        <w:tc>
          <w:tcPr>
            <w:tcW w:w="8522" w:type="dxa"/>
          </w:tcPr>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tc>
      </w:tr>
    </w:tbl>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EF4052">
      <w:pPr>
        <w:widowControl w:val="0"/>
        <w:spacing w:after="0" w:line="360"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ac"/>
        <w:tblW w:w="8522" w:type="dxa"/>
        <w:tblLayout w:type="fixed"/>
        <w:tblLook w:val="04A0" w:firstRow="1" w:lastRow="0" w:firstColumn="1" w:lastColumn="0" w:noHBand="0" w:noVBand="1"/>
      </w:tblPr>
      <w:tblGrid>
        <w:gridCol w:w="578"/>
        <w:gridCol w:w="1486"/>
        <w:gridCol w:w="883"/>
        <w:gridCol w:w="1556"/>
        <w:gridCol w:w="783"/>
        <w:gridCol w:w="521"/>
        <w:gridCol w:w="2194"/>
        <w:gridCol w:w="521"/>
      </w:tblGrid>
      <w:tr w:rsidR="004F4AA1">
        <w:trPr>
          <w:trHeight w:val="1307"/>
        </w:trPr>
        <w:tc>
          <w:tcPr>
            <w:tcW w:w="578" w:type="dxa"/>
          </w:tcPr>
          <w:p w:rsidR="004F4AA1" w:rsidRDefault="00EF4052">
            <w:pPr>
              <w:widowControl w:val="0"/>
              <w:spacing w:line="360" w:lineRule="auto"/>
              <w:jc w:val="both"/>
              <w:rPr>
                <w:rFonts w:ascii="仿宋_GB2312" w:eastAsia="仿宋_GB2312" w:hAnsi="仿宋_GB2312" w:cs="仿宋_GB2312"/>
                <w:sz w:val="21"/>
                <w:szCs w:val="21"/>
              </w:rPr>
            </w:pPr>
            <w:r>
              <w:rPr>
                <w:rFonts w:ascii="仿宋_GB2312" w:eastAsia="仿宋_GB2312" w:hAnsi="仿宋_GB2312" w:cs="仿宋_GB2312" w:hint="eastAsia"/>
                <w:kern w:val="2"/>
                <w:sz w:val="21"/>
                <w:szCs w:val="21"/>
              </w:rPr>
              <w:t>序号</w:t>
            </w:r>
          </w:p>
        </w:tc>
        <w:tc>
          <w:tcPr>
            <w:tcW w:w="148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资金提供机构名称(即拨入资金的具体机构)</w:t>
            </w:r>
          </w:p>
        </w:tc>
        <w:tc>
          <w:tcPr>
            <w:tcW w:w="883"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资金提供机构账号</w:t>
            </w:r>
          </w:p>
        </w:tc>
        <w:tc>
          <w:tcPr>
            <w:tcW w:w="155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资金使用机构名称(即向该具体机构拨出资金)</w:t>
            </w:r>
          </w:p>
        </w:tc>
        <w:tc>
          <w:tcPr>
            <w:tcW w:w="783"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资金使用机构账号</w:t>
            </w:r>
          </w:p>
        </w:tc>
        <w:tc>
          <w:tcPr>
            <w:tcW w:w="521"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2194"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截至函证基准日拨入或拨出资金余额</w:t>
            </w:r>
          </w:p>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(拨出填列正数，拨入填列负数)</w:t>
            </w:r>
          </w:p>
        </w:tc>
        <w:tc>
          <w:tcPr>
            <w:tcW w:w="521"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340"/>
        </w:trPr>
        <w:tc>
          <w:tcPr>
            <w:tcW w:w="578"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宋体" w:eastAsia="宋体" w:hAnsi="宋体" w:cs="宋体" w:hint="eastAsia"/>
                <w:kern w:val="2"/>
                <w:sz w:val="21"/>
                <w:szCs w:val="21"/>
              </w:rPr>
              <w:t>1</w:t>
            </w:r>
          </w:p>
        </w:tc>
        <w:tc>
          <w:tcPr>
            <w:tcW w:w="148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举例：A公司</w:t>
            </w:r>
          </w:p>
        </w:tc>
        <w:tc>
          <w:tcPr>
            <w:tcW w:w="883"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155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extent cx="15875" cy="15875"/>
                  <wp:effectExtent l="0" t="0" r="0" b="0"/>
                  <wp:docPr id="9" name="图片 9"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521"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2194"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4F4AA1" w:rsidRDefault="004F4AA1">
            <w:pPr>
              <w:widowControl w:val="0"/>
              <w:spacing w:line="360" w:lineRule="auto"/>
              <w:jc w:val="both"/>
              <w:rPr>
                <w:rFonts w:ascii="仿宋_GB2312" w:eastAsia="仿宋_GB2312" w:hAnsi="仿宋_GB2312" w:cs="仿宋_GB2312"/>
                <w:kern w:val="2"/>
                <w:sz w:val="21"/>
                <w:szCs w:val="21"/>
              </w:rPr>
            </w:pPr>
          </w:p>
        </w:tc>
      </w:tr>
      <w:tr w:rsidR="004F4AA1">
        <w:trPr>
          <w:trHeight w:val="340"/>
        </w:trPr>
        <w:tc>
          <w:tcPr>
            <w:tcW w:w="578"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宋体" w:eastAsia="宋体" w:hAnsi="宋体" w:cs="宋体" w:hint="eastAsia"/>
                <w:kern w:val="2"/>
                <w:sz w:val="21"/>
                <w:szCs w:val="21"/>
              </w:rPr>
              <w:t>2</w:t>
            </w:r>
          </w:p>
        </w:tc>
        <w:tc>
          <w:tcPr>
            <w:tcW w:w="148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noProof/>
                <w:kern w:val="2"/>
                <w:sz w:val="21"/>
                <w:szCs w:val="21"/>
              </w:rPr>
              <w:drawing>
                <wp:inline distT="0" distB="0" distL="0" distR="0">
                  <wp:extent cx="15875" cy="15875"/>
                  <wp:effectExtent l="0" t="0" r="0" b="0"/>
                  <wp:docPr id="10" name="图片 10"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155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举例：B公司</w:t>
            </w:r>
          </w:p>
        </w:tc>
        <w:tc>
          <w:tcPr>
            <w:tcW w:w="783"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521"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2194"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4F4AA1" w:rsidRDefault="004F4AA1">
            <w:pPr>
              <w:widowControl w:val="0"/>
              <w:spacing w:line="360" w:lineRule="auto"/>
              <w:jc w:val="both"/>
              <w:rPr>
                <w:rFonts w:ascii="仿宋_GB2312" w:eastAsia="仿宋_GB2312" w:hAnsi="仿宋_GB2312" w:cs="仿宋_GB2312"/>
                <w:kern w:val="2"/>
                <w:sz w:val="21"/>
                <w:szCs w:val="21"/>
              </w:rPr>
            </w:pPr>
          </w:p>
        </w:tc>
      </w:tr>
      <w:tr w:rsidR="004F4AA1">
        <w:trPr>
          <w:trHeight w:val="340"/>
        </w:trPr>
        <w:tc>
          <w:tcPr>
            <w:tcW w:w="578"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148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883"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1556"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783"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521" w:type="dxa"/>
          </w:tcPr>
          <w:p w:rsidR="004F4AA1" w:rsidRDefault="004F4AA1">
            <w:pPr>
              <w:widowControl w:val="0"/>
              <w:spacing w:line="360" w:lineRule="auto"/>
              <w:jc w:val="both"/>
              <w:rPr>
                <w:rFonts w:ascii="仿宋_GB2312" w:eastAsia="仿宋_GB2312" w:hAnsi="仿宋_GB2312" w:cs="仿宋_GB2312"/>
                <w:kern w:val="2"/>
                <w:sz w:val="21"/>
                <w:szCs w:val="21"/>
              </w:rPr>
            </w:pPr>
          </w:p>
        </w:tc>
        <w:tc>
          <w:tcPr>
            <w:tcW w:w="2194" w:type="dxa"/>
          </w:tcPr>
          <w:p w:rsidR="004F4AA1" w:rsidRDefault="00EF4052">
            <w:pPr>
              <w:widowControl w:val="0"/>
              <w:spacing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4F4AA1" w:rsidRDefault="004F4AA1">
            <w:pPr>
              <w:widowControl w:val="0"/>
              <w:spacing w:line="360" w:lineRule="auto"/>
              <w:jc w:val="both"/>
              <w:rPr>
                <w:rFonts w:ascii="仿宋_GB2312" w:eastAsia="仿宋_GB2312" w:hAnsi="仿宋_GB2312" w:cs="仿宋_GB2312"/>
                <w:kern w:val="2"/>
                <w:sz w:val="21"/>
                <w:szCs w:val="21"/>
              </w:rPr>
            </w:pPr>
          </w:p>
        </w:tc>
      </w:tr>
    </w:tbl>
    <w:p w:rsidR="004F4AA1" w:rsidRDefault="004F4AA1">
      <w:pPr>
        <w:widowControl w:val="0"/>
        <w:spacing w:after="0" w:line="440" w:lineRule="exact"/>
        <w:jc w:val="both"/>
        <w:rPr>
          <w:rFonts w:ascii="仿宋_GB2312" w:eastAsia="仿宋_GB2312" w:hAnsi="仿宋_GB2312" w:cs="仿宋_GB2312"/>
          <w:kern w:val="2"/>
          <w:sz w:val="21"/>
          <w:szCs w:val="24"/>
          <w:lang w:val="en-GB"/>
        </w:rPr>
      </w:pPr>
    </w:p>
    <w:p w:rsidR="004F4AA1" w:rsidRDefault="004F4AA1">
      <w:pPr>
        <w:widowControl w:val="0"/>
        <w:spacing w:after="0" w:line="440" w:lineRule="exact"/>
        <w:jc w:val="both"/>
        <w:rPr>
          <w:rFonts w:ascii="仿宋_GB2312" w:eastAsia="仿宋_GB2312" w:hAnsi="仿宋_GB2312" w:cs="仿宋_GB2312"/>
          <w:kern w:val="2"/>
          <w:sz w:val="21"/>
          <w:szCs w:val="24"/>
          <w:lang w:val="en-GB"/>
        </w:rPr>
      </w:pPr>
    </w:p>
    <w:p w:rsidR="004F4AA1" w:rsidRDefault="004F4AA1">
      <w:pPr>
        <w:widowControl w:val="0"/>
        <w:spacing w:after="0" w:line="440" w:lineRule="exact"/>
        <w:jc w:val="both"/>
        <w:rPr>
          <w:rFonts w:ascii="仿宋_GB2312" w:eastAsia="仿宋_GB2312" w:hAnsi="仿宋_GB2312" w:cs="仿宋_GB2312"/>
          <w:kern w:val="2"/>
          <w:sz w:val="21"/>
          <w:szCs w:val="21"/>
        </w:rPr>
      </w:pPr>
    </w:p>
    <w:tbl>
      <w:tblPr>
        <w:tblW w:w="8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3"/>
      </w:tblGrid>
      <w:tr w:rsidR="004F4AA1">
        <w:trPr>
          <w:trHeight w:val="344"/>
        </w:trPr>
        <w:tc>
          <w:tcPr>
            <w:tcW w:w="8643" w:type="dxa"/>
          </w:tcPr>
          <w:p w:rsidR="004F4AA1" w:rsidRDefault="00EF4052">
            <w:pPr>
              <w:widowControl w:val="0"/>
              <w:spacing w:after="0" w:line="240" w:lineRule="auto"/>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lastRenderedPageBreak/>
              <w:t>银行确认</w:t>
            </w:r>
          </w:p>
        </w:tc>
      </w:tr>
      <w:tr w:rsidR="004F4AA1">
        <w:trPr>
          <w:trHeight w:val="5294"/>
        </w:trPr>
        <w:tc>
          <w:tcPr>
            <w:tcW w:w="8643" w:type="dxa"/>
          </w:tcPr>
          <w:p w:rsidR="004F4AA1" w:rsidRDefault="00EF4052">
            <w:pPr>
              <w:widowControl w:val="0"/>
              <w:spacing w:after="0" w:line="24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本行确认在上述第1-14项及附表（如适用）的表格中填列的金额和信息是正确、完整的。</w:t>
            </w: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w:t>
            </w: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rsidR="004F4AA1" w:rsidRDefault="00EF4052">
            <w:pPr>
              <w:widowControl w:val="0"/>
              <w:spacing w:after="0" w:line="240" w:lineRule="auto"/>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p w:rsidR="004F4AA1" w:rsidRDefault="004F4AA1">
            <w:pPr>
              <w:widowControl w:val="0"/>
              <w:spacing w:after="0" w:line="240" w:lineRule="auto"/>
              <w:jc w:val="both"/>
              <w:rPr>
                <w:rFonts w:ascii="仿宋_GB2312" w:eastAsia="仿宋_GB2312" w:hAnsi="仿宋_GB2312" w:cs="仿宋_GB2312"/>
                <w:kern w:val="2"/>
                <w:sz w:val="21"/>
                <w:szCs w:val="21"/>
              </w:rPr>
            </w:pPr>
          </w:p>
        </w:tc>
      </w:tr>
    </w:tbl>
    <w:p w:rsidR="004F4AA1" w:rsidRDefault="004F4AA1">
      <w:pPr>
        <w:widowControl w:val="0"/>
        <w:spacing w:after="0" w:line="360" w:lineRule="auto"/>
        <w:jc w:val="both"/>
        <w:rPr>
          <w:rFonts w:ascii="仿宋_GB2312" w:eastAsia="仿宋_GB2312" w:hAnsi="仿宋_GB2312" w:cs="仿宋_GB2312"/>
          <w:kern w:val="2"/>
          <w:sz w:val="21"/>
          <w:szCs w:val="21"/>
        </w:rPr>
      </w:pPr>
    </w:p>
    <w:p w:rsidR="004F4AA1" w:rsidRDefault="00EF4052">
      <w:pPr>
        <w:spacing w:after="0" w:line="240" w:lineRule="auto"/>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br w:type="page"/>
      </w:r>
    </w:p>
    <w:p w:rsidR="004F4AA1" w:rsidRDefault="00EF4052">
      <w:pPr>
        <w:spacing w:after="160" w:line="259" w:lineRule="auto"/>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lastRenderedPageBreak/>
        <w:t>附</w:t>
      </w:r>
      <w:r>
        <w:rPr>
          <w:rFonts w:ascii="宋体" w:eastAsia="宋体" w:hAnsi="宋体" w:cs="宋体" w:hint="eastAsia"/>
          <w:kern w:val="2"/>
          <w:sz w:val="28"/>
          <w:szCs w:val="28"/>
        </w:rPr>
        <w:t>3</w:t>
      </w:r>
    </w:p>
    <w:p w:rsidR="004F4AA1" w:rsidRDefault="00EF4052">
      <w:pPr>
        <w:pStyle w:val="1"/>
        <w:spacing w:before="0" w:line="580" w:lineRule="exact"/>
        <w:ind w:firstLineChars="800" w:firstLine="2570"/>
        <w:rPr>
          <w:rFonts w:ascii="仿宋_GB2312" w:eastAsia="仿宋_GB2312" w:hAnsi="仿宋_GB2312" w:cs="仿宋_GB2312"/>
          <w:kern w:val="2"/>
          <w:sz w:val="32"/>
          <w:szCs w:val="32"/>
        </w:rPr>
      </w:pPr>
      <w:r>
        <w:rPr>
          <w:rFonts w:ascii="仿宋_GB2312" w:eastAsia="仿宋_GB2312" w:hAnsi="仿宋_GB2312" w:cs="仿宋_GB2312" w:hint="eastAsia"/>
          <w:sz w:val="32"/>
          <w:szCs w:val="32"/>
        </w:rPr>
        <w:t>验资业务银行询证函</w:t>
      </w:r>
    </w:p>
    <w:p w:rsidR="004F4AA1" w:rsidRDefault="00EF4052">
      <w:pPr>
        <w:widowControl w:val="0"/>
        <w:spacing w:after="0"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4F4AA1" w:rsidRDefault="00EF4052">
      <w:pPr>
        <w:widowControl w:val="0"/>
        <w:spacing w:after="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]的要求，应当询证本公司[(*筹)][出资者(股东)][#外方股东]向贵行缴存的出资额。下列数据</w:t>
      </w:r>
      <w:r>
        <w:rPr>
          <w:rStyle w:val="af0"/>
          <w:rFonts w:ascii="仿宋_GB2312" w:eastAsia="仿宋_GB2312" w:hAnsi="仿宋_GB2312" w:cs="仿宋_GB2312" w:hint="eastAsia"/>
          <w:kern w:val="2"/>
          <w:sz w:val="24"/>
          <w:szCs w:val="24"/>
        </w:rPr>
        <w:footnoteReference w:id="9"/>
      </w:r>
      <w:r>
        <w:rPr>
          <w:rFonts w:ascii="仿宋_GB2312" w:eastAsia="仿宋_GB2312" w:hAnsi="仿宋_GB2312" w:cs="仿宋_GB2312" w:hint="eastAsia"/>
          <w:kern w:val="2"/>
          <w:sz w:val="24"/>
          <w:szCs w:val="24"/>
        </w:rPr>
        <w:t>及事项[出自本公司账薄记录]，如与贵行记录相符，请在本函“结论”部分签字、签章或</w:t>
      </w:r>
      <w:r>
        <w:rPr>
          <w:rFonts w:ascii="仿宋_GB2312" w:eastAsia="仿宋_GB2312" w:hAnsi="仿宋_GB2312" w:cs="仿宋_GB2312" w:hint="eastAsia"/>
          <w:bCs/>
          <w:kern w:val="2"/>
          <w:sz w:val="24"/>
          <w:szCs w:val="24"/>
        </w:rPr>
        <w:t>[签发电子签名]</w:t>
      </w:r>
      <w:r>
        <w:rPr>
          <w:rFonts w:ascii="仿宋_GB2312" w:eastAsia="仿宋_GB2312" w:hAnsi="仿宋_GB2312" w:cs="仿宋_GB2312" w:hint="eastAsia"/>
          <w:bCs/>
          <w:kern w:val="2"/>
          <w:sz w:val="24"/>
          <w:szCs w:val="24"/>
          <w:vertAlign w:val="superscript"/>
        </w:rPr>
        <w:footnoteReference w:id="10"/>
      </w:r>
      <w:r>
        <w:rPr>
          <w:rFonts w:ascii="仿宋_GB2312" w:eastAsia="仿宋_GB2312" w:hAnsi="仿宋_GB2312" w:cs="仿宋_GB2312" w:hint="eastAsia"/>
          <w:bCs/>
          <w:kern w:val="2"/>
          <w:sz w:val="24"/>
          <w:szCs w:val="24"/>
        </w:rPr>
        <w:t>；如有不符，请在本函“结论”部分列明不符项目及具体内容，并签字、签章或[签发电子签名]。回函请直接寄至××会计师事务所[或直接转交××会计师事务所函证经办人</w:t>
      </w:r>
      <w:r>
        <w:rPr>
          <w:rFonts w:ascii="仿宋_GB2312" w:eastAsia="仿宋_GB2312" w:hAnsi="仿宋_GB2312" w:cs="仿宋_GB2312" w:hint="eastAsia"/>
          <w:bCs/>
          <w:kern w:val="2"/>
          <w:sz w:val="24"/>
          <w:szCs w:val="24"/>
          <w:vertAlign w:val="superscript"/>
        </w:rPr>
        <w:footnoteReference w:id="11"/>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12"/>
      </w:r>
      <w:r>
        <w:rPr>
          <w:rFonts w:ascii="仿宋_GB2312" w:eastAsia="仿宋_GB2312" w:hAnsi="仿宋_GB2312" w:cs="仿宋_GB2312" w:hint="eastAsia"/>
          <w:bCs/>
          <w:kern w:val="2"/>
          <w:sz w:val="24"/>
          <w:szCs w:val="24"/>
        </w:rPr>
        <w:t>如下：</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4F4AA1" w:rsidRDefault="00EF4052">
      <w:pPr>
        <w:widowControl w:val="0"/>
        <w:spacing w:after="0"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rsidR="004F4AA1" w:rsidRDefault="00EF4052">
      <w:pPr>
        <w:widowControl w:val="0"/>
        <w:spacing w:after="0"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1559"/>
        <w:gridCol w:w="709"/>
        <w:gridCol w:w="850"/>
        <w:gridCol w:w="993"/>
        <w:gridCol w:w="708"/>
        <w:gridCol w:w="709"/>
        <w:gridCol w:w="709"/>
      </w:tblGrid>
      <w:tr w:rsidR="004F4AA1">
        <w:trPr>
          <w:trHeight w:val="465"/>
        </w:trPr>
        <w:tc>
          <w:tcPr>
            <w:tcW w:w="851"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F4AA1">
        <w:trPr>
          <w:trHeight w:val="465"/>
        </w:trPr>
        <w:tc>
          <w:tcPr>
            <w:tcW w:w="851" w:type="dxa"/>
            <w:vMerge/>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vMerge/>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1" w:type="dxa"/>
            <w:vMerge/>
          </w:tcPr>
          <w:p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1559" w:type="dxa"/>
            <w:vMerge/>
          </w:tcPr>
          <w:p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709" w:type="dxa"/>
            <w:vMerge/>
          </w:tcPr>
          <w:p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850" w:type="dxa"/>
            <w:vMerge/>
          </w:tcPr>
          <w:p w:rsidR="004F4AA1" w:rsidRDefault="004F4AA1">
            <w:pPr>
              <w:widowControl w:val="0"/>
              <w:spacing w:after="0" w:line="400" w:lineRule="exact"/>
              <w:jc w:val="center"/>
              <w:rPr>
                <w:rFonts w:ascii="仿宋_GB2312" w:eastAsia="仿宋_GB2312" w:hAnsi="仿宋_GB2312" w:cs="仿宋_GB2312"/>
                <w:kern w:val="2"/>
                <w:sz w:val="21"/>
                <w:szCs w:val="21"/>
              </w:rPr>
            </w:pPr>
          </w:p>
        </w:tc>
        <w:tc>
          <w:tcPr>
            <w:tcW w:w="993" w:type="dxa"/>
            <w:vMerge/>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8" w:type="dxa"/>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rsidR="004F4AA1" w:rsidRDefault="00EF4052">
            <w:pPr>
              <w:widowControl w:val="0"/>
              <w:spacing w:after="0"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rsidR="004F4AA1" w:rsidRDefault="004F4AA1">
            <w:pPr>
              <w:widowControl w:val="0"/>
              <w:spacing w:after="0" w:line="400" w:lineRule="exact"/>
              <w:jc w:val="center"/>
              <w:rPr>
                <w:rFonts w:ascii="仿宋_GB2312" w:eastAsia="仿宋_GB2312" w:hAnsi="仿宋_GB2312" w:cs="仿宋_GB2312"/>
                <w:kern w:val="2"/>
                <w:sz w:val="21"/>
                <w:szCs w:val="21"/>
              </w:rPr>
            </w:pPr>
          </w:p>
        </w:tc>
      </w:tr>
      <w:tr w:rsidR="004F4AA1">
        <w:tc>
          <w:tcPr>
            <w:tcW w:w="851"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1"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559"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993"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417" w:type="dxa"/>
            <w:gridSpan w:val="2"/>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r>
      <w:tr w:rsidR="004F4AA1">
        <w:tc>
          <w:tcPr>
            <w:tcW w:w="851"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1"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559"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850"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993"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1417" w:type="dxa"/>
            <w:gridSpan w:val="2"/>
          </w:tcPr>
          <w:p w:rsidR="004F4AA1" w:rsidRDefault="004F4AA1">
            <w:pPr>
              <w:widowControl w:val="0"/>
              <w:spacing w:after="0" w:line="400" w:lineRule="exact"/>
              <w:jc w:val="both"/>
              <w:rPr>
                <w:rFonts w:ascii="仿宋_GB2312" w:eastAsia="仿宋_GB2312" w:hAnsi="仿宋_GB2312" w:cs="仿宋_GB2312"/>
                <w:kern w:val="2"/>
                <w:sz w:val="21"/>
                <w:szCs w:val="21"/>
              </w:rPr>
            </w:pPr>
          </w:p>
        </w:tc>
        <w:tc>
          <w:tcPr>
            <w:tcW w:w="709" w:type="dxa"/>
          </w:tcPr>
          <w:p w:rsidR="004F4AA1" w:rsidRDefault="004F4AA1">
            <w:pPr>
              <w:widowControl w:val="0"/>
              <w:spacing w:after="0" w:line="400" w:lineRule="exact"/>
              <w:jc w:val="both"/>
              <w:rPr>
                <w:rFonts w:ascii="仿宋_GB2312" w:eastAsia="仿宋_GB2312" w:hAnsi="仿宋_GB2312" w:cs="仿宋_GB2312"/>
                <w:kern w:val="2"/>
                <w:sz w:val="21"/>
                <w:szCs w:val="21"/>
              </w:rPr>
            </w:pPr>
          </w:p>
        </w:tc>
      </w:tr>
    </w:tbl>
    <w:p w:rsidR="004F4AA1" w:rsidRDefault="00EF4052">
      <w:pPr>
        <w:widowControl w:val="0"/>
        <w:snapToGrid w:val="0"/>
        <w:spacing w:beforeLines="100" w:before="312" w:after="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rsidR="004F4AA1" w:rsidRDefault="00EF4052">
      <w:pPr>
        <w:widowControl w:val="0"/>
        <w:snapToGrid w:val="0"/>
        <w:spacing w:beforeLines="100" w:before="312" w:after="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rsidR="004F4AA1" w:rsidRDefault="00EF4052">
      <w:pPr>
        <w:widowControl w:val="0"/>
        <w:snapToGrid w:val="0"/>
        <w:spacing w:beforeLines="100" w:before="312" w:after="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rsidR="004F4AA1" w:rsidRDefault="00EF4052">
      <w:pPr>
        <w:widowControl w:val="0"/>
        <w:snapToGrid w:val="0"/>
        <w:spacing w:beforeLines="100" w:before="312" w:after="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lastRenderedPageBreak/>
        <w:t>注</w:t>
      </w:r>
      <w:r>
        <w:rPr>
          <w:rFonts w:ascii="宋体" w:eastAsia="宋体" w:hAnsi="宋体" w:cs="宋体" w:hint="eastAsia"/>
          <w:kern w:val="2"/>
          <w:sz w:val="20"/>
          <w:szCs w:val="21"/>
        </w:rPr>
        <w:t>1</w:t>
      </w:r>
      <w:r>
        <w:rPr>
          <w:rFonts w:ascii="仿宋_GB2312" w:eastAsia="仿宋_GB2312" w:hAnsi="仿宋_GB2312" w:cs="仿宋_GB2312" w:hint="eastAsia"/>
          <w:kern w:val="2"/>
          <w:sz w:val="20"/>
          <w:szCs w:val="21"/>
        </w:rPr>
        <w:t>：* 适用于拟设立公司。注</w:t>
      </w:r>
      <w:r>
        <w:rPr>
          <w:rFonts w:ascii="宋体" w:eastAsia="宋体" w:hAnsi="宋体" w:cs="宋体" w:hint="eastAsia"/>
          <w:kern w:val="2"/>
          <w:sz w:val="20"/>
          <w:szCs w:val="21"/>
        </w:rPr>
        <w:t>2</w:t>
      </w:r>
      <w:r>
        <w:rPr>
          <w:rFonts w:ascii="仿宋_GB2312" w:eastAsia="仿宋_GB2312" w:hAnsi="仿宋_GB2312" w:cs="仿宋_GB2312" w:hint="eastAsia"/>
          <w:kern w:val="2"/>
          <w:sz w:val="20"/>
          <w:szCs w:val="21"/>
        </w:rPr>
        <w:t>：# 适用于外商投资企业（外方出资）。</w:t>
      </w:r>
    </w:p>
    <w:p w:rsidR="004F4AA1" w:rsidRDefault="004F4AA1">
      <w:pPr>
        <w:widowControl w:val="0"/>
        <w:snapToGrid w:val="0"/>
        <w:spacing w:after="0" w:line="240" w:lineRule="atLeast"/>
        <w:rPr>
          <w:rFonts w:ascii="仿宋_GB2312" w:eastAsia="仿宋_GB2312" w:hAnsi="仿宋_GB2312" w:cs="仿宋_GB2312"/>
          <w:kern w:val="2"/>
          <w:sz w:val="18"/>
          <w:szCs w:val="18"/>
          <w:u w:val="single"/>
        </w:rPr>
      </w:pPr>
    </w:p>
    <w:p w:rsidR="004F4AA1" w:rsidRDefault="004F4AA1">
      <w:pPr>
        <w:widowControl w:val="0"/>
        <w:snapToGrid w:val="0"/>
        <w:spacing w:after="0" w:line="240" w:lineRule="atLeast"/>
        <w:rPr>
          <w:rFonts w:ascii="仿宋_GB2312" w:eastAsia="仿宋_GB2312" w:hAnsi="仿宋_GB2312" w:cs="仿宋_GB2312"/>
          <w:kern w:val="2"/>
          <w:sz w:val="18"/>
          <w:szCs w:val="18"/>
          <w:u w:val="single"/>
        </w:rPr>
      </w:pPr>
    </w:p>
    <w:p w:rsidR="004F4AA1" w:rsidRDefault="00EF4052">
      <w:pPr>
        <w:widowControl w:val="0"/>
        <w:spacing w:after="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u w:val="single"/>
        </w:rPr>
        <w:t xml:space="preserve">                         以下由被询证银行填列                                                                                                              </w:t>
      </w:r>
    </w:p>
    <w:p w:rsidR="004F4AA1" w:rsidRDefault="00EF4052">
      <w:pPr>
        <w:widowControl w:val="0"/>
        <w:spacing w:after="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4F4AA1">
        <w:trPr>
          <w:trHeight w:val="1752"/>
        </w:trPr>
        <w:tc>
          <w:tcPr>
            <w:tcW w:w="8522" w:type="dxa"/>
          </w:tcPr>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    </w:t>
            </w: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rsidR="004F4AA1" w:rsidRDefault="00EF4052">
            <w:pPr>
              <w:widowControl w:val="0"/>
              <w:autoSpaceDE w:val="0"/>
              <w:autoSpaceDN w:val="0"/>
              <w:adjustRightInd w:val="0"/>
              <w:spacing w:after="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tc>
      </w:tr>
      <w:tr w:rsidR="004F4AA1">
        <w:trPr>
          <w:trHeight w:val="1386"/>
        </w:trPr>
        <w:tc>
          <w:tcPr>
            <w:tcW w:w="8522" w:type="dxa"/>
          </w:tcPr>
          <w:p w:rsidR="004F4AA1" w:rsidRDefault="00EF4052">
            <w:pPr>
              <w:widowControl w:val="0"/>
              <w:autoSpaceDE w:val="0"/>
              <w:autoSpaceDN w:val="0"/>
              <w:adjustRightInd w:val="0"/>
              <w:spacing w:after="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年    月    日       经办人：      职务：      电话：    </w:t>
            </w:r>
          </w:p>
          <w:p w:rsidR="004F4AA1" w:rsidRDefault="00EF4052">
            <w:pPr>
              <w:widowControl w:val="0"/>
              <w:autoSpaceDE w:val="0"/>
              <w:autoSpaceDN w:val="0"/>
              <w:adjustRightInd w:val="0"/>
              <w:spacing w:after="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复核人：      职务：      电话：</w:t>
            </w:r>
          </w:p>
          <w:p w:rsidR="004F4AA1" w:rsidRDefault="00EF4052">
            <w:pPr>
              <w:widowControl w:val="0"/>
              <w:autoSpaceDE w:val="0"/>
              <w:autoSpaceDN w:val="0"/>
              <w:adjustRightInd w:val="0"/>
              <w:spacing w:after="0" w:line="500" w:lineRule="exact"/>
              <w:ind w:firstLineChars="2200" w:firstLine="4638"/>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4F4AA1" w:rsidRDefault="004F4AA1">
            <w:pPr>
              <w:widowControl w:val="0"/>
              <w:autoSpaceDE w:val="0"/>
              <w:autoSpaceDN w:val="0"/>
              <w:adjustRightInd w:val="0"/>
              <w:spacing w:after="0" w:line="500" w:lineRule="exact"/>
              <w:jc w:val="both"/>
              <w:rPr>
                <w:rFonts w:ascii="仿宋_GB2312" w:eastAsia="仿宋_GB2312" w:hAnsi="仿宋_GB2312" w:cs="仿宋_GB2312"/>
                <w:b/>
                <w:sz w:val="21"/>
                <w:szCs w:val="21"/>
              </w:rPr>
            </w:pPr>
          </w:p>
        </w:tc>
      </w:tr>
    </w:tbl>
    <w:p w:rsidR="004F4AA1" w:rsidRDefault="004F4AA1">
      <w:pPr>
        <w:widowControl w:val="0"/>
        <w:spacing w:after="0" w:line="560" w:lineRule="exact"/>
        <w:jc w:val="center"/>
        <w:rPr>
          <w:rFonts w:ascii="仿宋_GB2312" w:eastAsia="仿宋_GB2312" w:hAnsi="仿宋_GB2312" w:cs="仿宋_GB2312"/>
          <w:kern w:val="2"/>
          <w:sz w:val="32"/>
          <w:szCs w:val="32"/>
          <w:lang w:val="en-GB"/>
        </w:rPr>
      </w:pPr>
    </w:p>
    <w:p w:rsidR="004F4AA1" w:rsidRDefault="00EF4052">
      <w:pPr>
        <w:spacing w:after="0" w:line="240" w:lineRule="auto"/>
        <w:rPr>
          <w:rFonts w:ascii="仿宋_GB2312" w:eastAsia="仿宋_GB2312" w:hAnsi="仿宋_GB2312" w:cs="仿宋_GB2312"/>
          <w:kern w:val="2"/>
          <w:sz w:val="32"/>
          <w:szCs w:val="32"/>
          <w:lang w:val="en-GB"/>
        </w:rPr>
      </w:pPr>
      <w:r>
        <w:rPr>
          <w:rFonts w:ascii="仿宋_GB2312" w:eastAsia="仿宋_GB2312" w:hAnsi="仿宋_GB2312" w:cs="仿宋_GB2312" w:hint="eastAsia"/>
          <w:kern w:val="2"/>
          <w:sz w:val="32"/>
          <w:szCs w:val="32"/>
          <w:lang w:val="en-GB"/>
        </w:rPr>
        <w:br w:type="page"/>
      </w:r>
    </w:p>
    <w:p w:rsidR="004F4AA1" w:rsidRDefault="00EF4052">
      <w:pPr>
        <w:widowControl w:val="0"/>
        <w:spacing w:after="0" w:line="560" w:lineRule="exact"/>
        <w:rPr>
          <w:rFonts w:ascii="仿宋_GB2312" w:eastAsia="仿宋_GB2312" w:hAnsi="仿宋_GB2312" w:cs="仿宋_GB2312"/>
          <w:kern w:val="2"/>
          <w:sz w:val="28"/>
          <w:szCs w:val="28"/>
          <w:lang w:val="en-GB"/>
        </w:rPr>
      </w:pPr>
      <w:r>
        <w:rPr>
          <w:rFonts w:ascii="仿宋_GB2312" w:eastAsia="仿宋_GB2312" w:hAnsi="仿宋_GB2312" w:cs="仿宋_GB2312" w:hint="eastAsia"/>
          <w:kern w:val="2"/>
          <w:sz w:val="28"/>
          <w:szCs w:val="28"/>
          <w:lang w:val="en-GB"/>
        </w:rPr>
        <w:lastRenderedPageBreak/>
        <w:t>附</w:t>
      </w:r>
      <w:r>
        <w:rPr>
          <w:rFonts w:ascii="宋体" w:eastAsia="宋体" w:hAnsi="宋体" w:cs="宋体" w:hint="eastAsia"/>
          <w:kern w:val="2"/>
          <w:sz w:val="28"/>
          <w:szCs w:val="28"/>
          <w:lang w:val="en-GB"/>
        </w:rPr>
        <w:t>4</w:t>
      </w:r>
    </w:p>
    <w:p w:rsidR="004F4AA1" w:rsidRDefault="00EF4052" w:rsidP="003511E2">
      <w:pPr>
        <w:pStyle w:val="1"/>
        <w:spacing w:before="0" w:line="580" w:lineRule="exact"/>
        <w:ind w:firstLineChars="800" w:firstLine="2570"/>
        <w:rPr>
          <w:rFonts w:ascii="仿宋_GB2312" w:eastAsia="仿宋_GB2312" w:hAnsi="仿宋_GB2312" w:cs="仿宋_GB2312"/>
          <w:b w:val="0"/>
          <w:sz w:val="36"/>
          <w:szCs w:val="36"/>
        </w:rPr>
      </w:pPr>
      <w:bookmarkStart w:id="0" w:name="_GoBack"/>
      <w:r w:rsidRPr="003511E2">
        <w:rPr>
          <w:rFonts w:ascii="仿宋_GB2312" w:eastAsia="仿宋_GB2312" w:hAnsi="仿宋_GB2312" w:cs="仿宋_GB2312" w:hint="eastAsia"/>
          <w:sz w:val="32"/>
          <w:szCs w:val="32"/>
        </w:rPr>
        <w:t>资金池业务函证案例</w:t>
      </w:r>
      <w:bookmarkEnd w:id="0"/>
    </w:p>
    <w:p w:rsidR="004F4AA1" w:rsidRDefault="004F4AA1">
      <w:pPr>
        <w:spacing w:after="0" w:line="560" w:lineRule="exact"/>
        <w:jc w:val="center"/>
        <w:rPr>
          <w:rFonts w:ascii="仿宋_GB2312" w:eastAsia="仿宋_GB2312" w:hAnsi="仿宋_GB2312" w:cs="仿宋_GB2312"/>
          <w:sz w:val="32"/>
          <w:szCs w:val="32"/>
          <w:lang w:val="en-GB"/>
        </w:rPr>
      </w:pPr>
    </w:p>
    <w:p w:rsidR="004F4AA1" w:rsidRDefault="00EF4052">
      <w:pPr>
        <w:spacing w:line="58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本案例旨在就资金池业务的银行函证实务做法提供参考示例。由于实务中的情况复杂多变，本案例并不能涵盖实务中的所有情况，注册会计师和银行业金融机构需要根据具体情况作出判断，而不应机械套用本案例。</w:t>
      </w:r>
    </w:p>
    <w:p w:rsidR="004F4AA1" w:rsidRDefault="00EF4052">
      <w:pPr>
        <w:spacing w:after="0" w:line="58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一、背景信息</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A股上市公司X集团与某银行签有资金归集协议，约定自</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日起对X集团合并范围内主体（包括A股上市公司母公司及其各子公司及分支机构等）进行资金集中管理，相关信息如下：</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X集团母公司X开有资金归集主账户（账号</w:t>
      </w:r>
      <w:r>
        <w:rPr>
          <w:rFonts w:ascii="宋体" w:eastAsia="宋体" w:hAnsi="宋体" w:cs="宋体" w:hint="eastAsia"/>
          <w:sz w:val="28"/>
          <w:szCs w:val="24"/>
          <w:lang w:val="en-GB"/>
        </w:rPr>
        <w:t>001</w:t>
      </w:r>
      <w:r>
        <w:rPr>
          <w:rFonts w:ascii="仿宋_GB2312" w:eastAsia="仿宋_GB2312" w:hAnsi="仿宋_GB2312" w:cs="仿宋_GB2312" w:hint="eastAsia"/>
          <w:sz w:val="28"/>
          <w:szCs w:val="24"/>
          <w:lang w:val="en-GB"/>
        </w:rPr>
        <w:t>），B为X集团省级子公司，开有资金归集二级账户（账号</w:t>
      </w:r>
      <w:r>
        <w:rPr>
          <w:rFonts w:ascii="宋体" w:eastAsia="宋体" w:hAnsi="宋体" w:cs="宋体" w:hint="eastAsia"/>
          <w:sz w:val="28"/>
          <w:szCs w:val="24"/>
          <w:lang w:val="en-GB"/>
        </w:rPr>
        <w:t>020</w:t>
      </w:r>
      <w:r>
        <w:rPr>
          <w:rFonts w:ascii="仿宋_GB2312" w:eastAsia="仿宋_GB2312" w:hAnsi="仿宋_GB2312" w:cs="仿宋_GB2312" w:hint="eastAsia"/>
          <w:sz w:val="28"/>
          <w:szCs w:val="24"/>
          <w:lang w:val="en-GB"/>
        </w:rPr>
        <w:t>），C为X集团市级分支机构，开有资金归集三级账户（账号</w:t>
      </w:r>
      <w:r>
        <w:rPr>
          <w:rFonts w:ascii="宋体" w:eastAsia="宋体" w:hAnsi="宋体" w:cs="宋体" w:hint="eastAsia"/>
          <w:sz w:val="28"/>
          <w:szCs w:val="24"/>
          <w:lang w:val="en-GB"/>
        </w:rPr>
        <w:t>300</w:t>
      </w:r>
      <w:r>
        <w:rPr>
          <w:rFonts w:ascii="仿宋_GB2312" w:eastAsia="仿宋_GB2312" w:hAnsi="仿宋_GB2312" w:cs="仿宋_GB2312" w:hint="eastAsia"/>
          <w:sz w:val="28"/>
          <w:szCs w:val="24"/>
          <w:lang w:val="en-GB"/>
        </w:rPr>
        <w:t>）。</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按照协议约定采用每日定时归集方式，二级账户约定每日保留额度</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万元，超过</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万元的余额每天</w:t>
      </w:r>
      <w:r>
        <w:rPr>
          <w:rFonts w:ascii="宋体" w:eastAsia="宋体" w:hAnsi="宋体" w:cs="宋体" w:hint="eastAsia"/>
          <w:sz w:val="28"/>
          <w:szCs w:val="24"/>
          <w:lang w:val="en-GB"/>
        </w:rPr>
        <w:t>17:00</w:t>
      </w:r>
      <w:r>
        <w:rPr>
          <w:rFonts w:ascii="仿宋_GB2312" w:eastAsia="仿宋_GB2312" w:hAnsi="仿宋_GB2312" w:cs="仿宋_GB2312" w:hint="eastAsia"/>
          <w:sz w:val="28"/>
          <w:szCs w:val="24"/>
          <w:lang w:val="en-GB"/>
        </w:rPr>
        <w:t>时将自动归集到集团主账户，如果不足</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万元，集团主账户下划为其补足差额；三级账户额度为零，每天余额上划到二级账户，再由二级账户上划到主账户。</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（3）</w:t>
      </w:r>
      <w:r>
        <w:rPr>
          <w:rFonts w:ascii="仿宋_GB2312" w:eastAsia="仿宋_GB2312" w:hAnsi="仿宋_GB2312" w:cs="仿宋_GB2312" w:hint="eastAsia"/>
          <w:sz w:val="28"/>
          <w:szCs w:val="24"/>
          <w:lang w:val="en-GB"/>
        </w:rPr>
        <w:t>按照协议约定，网银和每月对账单的呈现方式均为以实际余额呈现。</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t>（4）</w:t>
      </w:r>
      <w:r>
        <w:rPr>
          <w:rFonts w:ascii="仿宋_GB2312" w:eastAsia="仿宋_GB2312" w:hAnsi="仿宋_GB2312" w:cs="仿宋_GB2312" w:hint="eastAsia"/>
          <w:sz w:val="28"/>
          <w:szCs w:val="24"/>
          <w:lang w:val="en-GB"/>
        </w:rPr>
        <w:t>为简化起见，本案例不考虑资金池账户内部计息问题。</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宋体" w:eastAsia="宋体" w:hAnsi="宋体" w:cs="宋体" w:hint="eastAsia"/>
          <w:sz w:val="28"/>
          <w:szCs w:val="24"/>
          <w:lang w:val="en-GB"/>
        </w:rPr>
        <w:lastRenderedPageBreak/>
        <w:t>2．</w:t>
      </w:r>
      <w:r>
        <w:rPr>
          <w:rFonts w:ascii="仿宋_GB2312" w:eastAsia="仿宋_GB2312" w:hAnsi="仿宋_GB2312" w:cs="仿宋_GB2312" w:hint="eastAsia"/>
          <w:sz w:val="28"/>
          <w:szCs w:val="24"/>
          <w:lang w:val="en-GB"/>
        </w:rPr>
        <w:t>假定截至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日，母公司X主账户</w:t>
      </w:r>
      <w:r>
        <w:rPr>
          <w:rFonts w:ascii="宋体" w:eastAsia="宋体" w:hAnsi="宋体" w:cs="宋体" w:hint="eastAsia"/>
          <w:sz w:val="28"/>
          <w:szCs w:val="24"/>
          <w:lang w:val="en-GB"/>
        </w:rPr>
        <w:t>001</w:t>
      </w:r>
      <w:r>
        <w:rPr>
          <w:rFonts w:ascii="仿宋_GB2312" w:eastAsia="仿宋_GB2312" w:hAnsi="仿宋_GB2312" w:cs="仿宋_GB2312" w:hint="eastAsia"/>
          <w:sz w:val="28"/>
          <w:szCs w:val="24"/>
          <w:lang w:val="en-GB"/>
        </w:rPr>
        <w:t>中实际余额</w:t>
      </w:r>
      <w:r>
        <w:rPr>
          <w:rFonts w:ascii="宋体" w:eastAsia="宋体" w:hAnsi="宋体" w:cs="宋体" w:hint="eastAsia"/>
          <w:sz w:val="28"/>
          <w:szCs w:val="24"/>
          <w:lang w:val="en-GB"/>
        </w:rPr>
        <w:t>150</w:t>
      </w:r>
      <w:r>
        <w:rPr>
          <w:rFonts w:ascii="仿宋_GB2312" w:eastAsia="仿宋_GB2312" w:hAnsi="仿宋_GB2312" w:cs="仿宋_GB2312" w:hint="eastAsia"/>
          <w:sz w:val="28"/>
          <w:szCs w:val="24"/>
          <w:lang w:val="en-GB"/>
        </w:rPr>
        <w:t>万元，子公司B二级账户实际余额为</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万元，孙公司C三级账户余额为</w:t>
      </w:r>
      <w:r>
        <w:rPr>
          <w:rFonts w:ascii="宋体" w:eastAsia="宋体" w:hAnsi="宋体" w:cs="宋体" w:hint="eastAsia"/>
          <w:sz w:val="28"/>
          <w:szCs w:val="24"/>
          <w:lang w:val="en-GB"/>
        </w:rPr>
        <w:t>0</w:t>
      </w:r>
      <w:r>
        <w:rPr>
          <w:rFonts w:ascii="仿宋_GB2312" w:eastAsia="仿宋_GB2312" w:hAnsi="仿宋_GB2312" w:cs="仿宋_GB2312" w:hint="eastAsia"/>
          <w:sz w:val="28"/>
          <w:szCs w:val="24"/>
          <w:lang w:val="en-GB"/>
        </w:rPr>
        <w:t>元；截至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日，B公司二级账户上划主账户资金余额为</w:t>
      </w:r>
      <w:r>
        <w:rPr>
          <w:rFonts w:ascii="宋体" w:eastAsia="宋体" w:hAnsi="宋体" w:cs="宋体" w:hint="eastAsia"/>
          <w:sz w:val="28"/>
          <w:szCs w:val="24"/>
          <w:lang w:val="en-GB"/>
        </w:rPr>
        <w:t>50</w:t>
      </w:r>
      <w:r>
        <w:rPr>
          <w:rFonts w:ascii="仿宋_GB2312" w:eastAsia="仿宋_GB2312" w:hAnsi="仿宋_GB2312" w:cs="仿宋_GB2312" w:hint="eastAsia"/>
          <w:sz w:val="28"/>
          <w:szCs w:val="24"/>
          <w:lang w:val="en-GB"/>
        </w:rPr>
        <w:t>万元（注：如果B二级账户与主账户在</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××年度内同时有上划和下拨交易，附表函证的是X公司与B公司截至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日的上下归集净差额，即X集团自</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日开始进行资金归集，起始净额为</w:t>
      </w:r>
      <w:r>
        <w:rPr>
          <w:rFonts w:ascii="宋体" w:eastAsia="宋体" w:hAnsi="宋体" w:cs="宋体" w:hint="eastAsia"/>
          <w:sz w:val="28"/>
          <w:szCs w:val="24"/>
          <w:lang w:val="en-GB"/>
        </w:rPr>
        <w:t>0</w:t>
      </w:r>
      <w:r>
        <w:rPr>
          <w:rFonts w:ascii="仿宋_GB2312" w:eastAsia="仿宋_GB2312" w:hAnsi="仿宋_GB2312" w:cs="仿宋_GB2312" w:hint="eastAsia"/>
          <w:sz w:val="28"/>
          <w:szCs w:val="24"/>
          <w:lang w:val="en-GB"/>
        </w:rPr>
        <w:t>，</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××年内B公司累计共上划资金</w:t>
      </w:r>
      <w:r>
        <w:rPr>
          <w:rFonts w:ascii="宋体" w:eastAsia="宋体" w:hAnsi="宋体" w:cs="宋体" w:hint="eastAsia"/>
          <w:sz w:val="28"/>
          <w:szCs w:val="24"/>
          <w:lang w:val="en-GB"/>
        </w:rPr>
        <w:t>70</w:t>
      </w:r>
      <w:r>
        <w:rPr>
          <w:rFonts w:ascii="仿宋_GB2312" w:eastAsia="仿宋_GB2312" w:hAnsi="仿宋_GB2312" w:cs="仿宋_GB2312" w:hint="eastAsia"/>
          <w:sz w:val="28"/>
          <w:szCs w:val="24"/>
          <w:lang w:val="en-GB"/>
        </w:rPr>
        <w:t>万元，同时母公司X下拨给B累计</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万元，则在询证函附表中，“截至函证基准日拨入或拨出资金余额”需通过函证确认的是截至</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日B子公司应收母公司X净额</w:t>
      </w:r>
      <w:r>
        <w:rPr>
          <w:rFonts w:ascii="宋体" w:eastAsia="宋体" w:hAnsi="宋体" w:cs="宋体" w:hint="eastAsia"/>
          <w:sz w:val="28"/>
          <w:szCs w:val="24"/>
          <w:lang w:val="en-GB"/>
        </w:rPr>
        <w:t>50</w:t>
      </w:r>
      <w:r>
        <w:rPr>
          <w:rFonts w:ascii="仿宋_GB2312" w:eastAsia="仿宋_GB2312" w:hAnsi="仿宋_GB2312" w:cs="仿宋_GB2312" w:hint="eastAsia"/>
          <w:sz w:val="28"/>
          <w:szCs w:val="24"/>
          <w:lang w:val="en-GB"/>
        </w:rPr>
        <w:t>万元，而不是函证期间发生额7</w:t>
      </w:r>
      <w:r>
        <w:rPr>
          <w:rFonts w:ascii="宋体" w:eastAsia="宋体" w:hAnsi="宋体" w:cs="宋体" w:hint="eastAsia"/>
          <w:sz w:val="28"/>
          <w:szCs w:val="24"/>
          <w:lang w:val="en-GB"/>
        </w:rPr>
        <w:t>0</w:t>
      </w:r>
      <w:r>
        <w:rPr>
          <w:rFonts w:ascii="仿宋_GB2312" w:eastAsia="仿宋_GB2312" w:hAnsi="仿宋_GB2312" w:cs="仿宋_GB2312" w:hint="eastAsia"/>
          <w:sz w:val="28"/>
          <w:szCs w:val="24"/>
          <w:lang w:val="en-GB"/>
        </w:rPr>
        <w:t>万元和20万元），同时B公司向C分支机构下拨资金余额为</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万元（注：假定C分支机构该账户为不产生业务收入的费用支出账户，费用依靠B子公司负责下拨，账户如有余额则每日上划B子公司，</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××年内B公司累计下划资金</w:t>
      </w:r>
      <w:r>
        <w:rPr>
          <w:rFonts w:ascii="宋体" w:eastAsia="宋体" w:hAnsi="宋体" w:cs="宋体" w:hint="eastAsia"/>
          <w:sz w:val="28"/>
          <w:szCs w:val="24"/>
          <w:lang w:val="en-GB"/>
        </w:rPr>
        <w:t>30</w:t>
      </w:r>
      <w:r>
        <w:rPr>
          <w:rFonts w:ascii="仿宋_GB2312" w:eastAsia="仿宋_GB2312" w:hAnsi="仿宋_GB2312" w:cs="仿宋_GB2312" w:hint="eastAsia"/>
          <w:sz w:val="28"/>
          <w:szCs w:val="24"/>
          <w:lang w:val="en-GB"/>
        </w:rPr>
        <w:t>万元，其中C分支机构该账户共上划归还</w:t>
      </w:r>
      <w:r>
        <w:rPr>
          <w:rFonts w:ascii="宋体" w:eastAsia="宋体" w:hAnsi="宋体" w:cs="宋体" w:hint="eastAsia"/>
          <w:sz w:val="28"/>
          <w:szCs w:val="24"/>
          <w:lang w:val="en-GB"/>
        </w:rPr>
        <w:t>10</w:t>
      </w:r>
      <w:r>
        <w:rPr>
          <w:rFonts w:ascii="仿宋_GB2312" w:eastAsia="仿宋_GB2312" w:hAnsi="仿宋_GB2312" w:cs="仿宋_GB2312" w:hint="eastAsia"/>
          <w:sz w:val="28"/>
          <w:szCs w:val="24"/>
          <w:lang w:val="en-GB"/>
        </w:rPr>
        <w:t>万元，则询证函附表“截至函证基准日拨入或拨出资金余额”需函证的是</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w:t>
      </w:r>
      <w:r>
        <w:rPr>
          <w:rFonts w:ascii="宋体" w:eastAsia="宋体" w:hAnsi="宋体" w:cs="宋体" w:hint="eastAsia"/>
          <w:sz w:val="28"/>
          <w:szCs w:val="24"/>
          <w:lang w:val="en-GB"/>
        </w:rPr>
        <w:t>12</w:t>
      </w:r>
      <w:r>
        <w:rPr>
          <w:rFonts w:ascii="仿宋_GB2312" w:eastAsia="仿宋_GB2312" w:hAnsi="仿宋_GB2312" w:cs="仿宋_GB2312" w:hint="eastAsia"/>
          <w:sz w:val="28"/>
          <w:szCs w:val="24"/>
          <w:lang w:val="en-GB"/>
        </w:rPr>
        <w:t>月</w:t>
      </w:r>
      <w:r>
        <w:rPr>
          <w:rFonts w:ascii="宋体" w:eastAsia="宋体" w:hAnsi="宋体" w:cs="宋体" w:hint="eastAsia"/>
          <w:sz w:val="28"/>
          <w:szCs w:val="24"/>
          <w:lang w:val="en-GB"/>
        </w:rPr>
        <w:t>31</w:t>
      </w:r>
      <w:r>
        <w:rPr>
          <w:rFonts w:ascii="仿宋_GB2312" w:eastAsia="仿宋_GB2312" w:hAnsi="仿宋_GB2312" w:cs="仿宋_GB2312" w:hint="eastAsia"/>
          <w:sz w:val="28"/>
          <w:szCs w:val="24"/>
          <w:lang w:val="en-GB"/>
        </w:rPr>
        <w:t>日B公司应收C分支机构净额</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万元）。</w:t>
      </w:r>
    </w:p>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仿宋_GB2312" w:eastAsia="仿宋_GB2312" w:hAnsi="仿宋_GB2312" w:cs="仿宋_GB2312" w:hint="eastAsia"/>
          <w:sz w:val="28"/>
          <w:szCs w:val="24"/>
          <w:lang w:val="en-GB"/>
        </w:rPr>
        <w:t>上述信息以表格列示如下:</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900"/>
        <w:gridCol w:w="1319"/>
        <w:gridCol w:w="1418"/>
        <w:gridCol w:w="1275"/>
        <w:gridCol w:w="2102"/>
      </w:tblGrid>
      <w:tr w:rsidR="004F4AA1">
        <w:trPr>
          <w:trHeight w:val="230"/>
        </w:trPr>
        <w:tc>
          <w:tcPr>
            <w:tcW w:w="2900"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项目</w:t>
            </w:r>
          </w:p>
        </w:tc>
        <w:tc>
          <w:tcPr>
            <w:tcW w:w="1319" w:type="dxa"/>
            <w:shd w:val="clear" w:color="auto" w:fill="FFFFFF" w:themeFill="background1"/>
            <w:vAlign w:val="bottom"/>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母公司</w:t>
            </w:r>
          </w:p>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X</w:t>
            </w:r>
          </w:p>
        </w:tc>
        <w:tc>
          <w:tcPr>
            <w:tcW w:w="1418" w:type="dxa"/>
            <w:shd w:val="clear" w:color="auto" w:fill="FFFFFF" w:themeFill="background1"/>
            <w:vAlign w:val="bottom"/>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子公司</w:t>
            </w:r>
          </w:p>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B</w:t>
            </w:r>
          </w:p>
        </w:tc>
        <w:tc>
          <w:tcPr>
            <w:tcW w:w="1275" w:type="dxa"/>
            <w:shd w:val="clear" w:color="auto" w:fill="FFFFFF" w:themeFill="background1"/>
            <w:vAlign w:val="bottom"/>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分支机构C</w:t>
            </w:r>
          </w:p>
        </w:tc>
        <w:tc>
          <w:tcPr>
            <w:tcW w:w="2102"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b/>
                <w:color w:val="000000"/>
                <w:sz w:val="21"/>
                <w:szCs w:val="21"/>
                <w:lang w:val="en-GB"/>
              </w:rPr>
            </w:pPr>
            <w:r>
              <w:rPr>
                <w:rFonts w:ascii="仿宋_GB2312" w:eastAsia="仿宋_GB2312" w:hAnsi="仿宋_GB2312" w:cs="仿宋_GB2312" w:hint="eastAsia"/>
                <w:b/>
                <w:color w:val="000000"/>
                <w:sz w:val="21"/>
                <w:szCs w:val="21"/>
                <w:lang w:val="en-GB"/>
              </w:rPr>
              <w:t>说明</w:t>
            </w:r>
          </w:p>
        </w:tc>
      </w:tr>
      <w:tr w:rsidR="004F4AA1">
        <w:trPr>
          <w:trHeight w:val="230"/>
        </w:trPr>
        <w:tc>
          <w:tcPr>
            <w:tcW w:w="2900"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宋体" w:eastAsia="宋体" w:hAnsi="宋体" w:cs="宋体" w:hint="eastAsia"/>
                <w:b/>
                <w:bCs/>
                <w:color w:val="000000"/>
                <w:sz w:val="21"/>
                <w:szCs w:val="21"/>
                <w:lang w:val="en-GB"/>
              </w:rPr>
              <w:t>20</w:t>
            </w:r>
            <w:r>
              <w:rPr>
                <w:rFonts w:ascii="仿宋_GB2312" w:eastAsia="仿宋_GB2312" w:hAnsi="仿宋_GB2312" w:cs="仿宋_GB2312" w:hint="eastAsia"/>
                <w:b/>
                <w:bCs/>
                <w:color w:val="000000"/>
                <w:sz w:val="21"/>
                <w:szCs w:val="21"/>
                <w:lang w:val="en-GB"/>
              </w:rPr>
              <w:t>××年</w:t>
            </w:r>
            <w:r>
              <w:rPr>
                <w:rFonts w:ascii="宋体" w:eastAsia="宋体" w:hAnsi="宋体" w:cs="宋体" w:hint="eastAsia"/>
                <w:b/>
                <w:bCs/>
                <w:color w:val="000000"/>
                <w:sz w:val="21"/>
                <w:szCs w:val="21"/>
                <w:lang w:val="en-GB"/>
              </w:rPr>
              <w:t>01</w:t>
            </w:r>
            <w:r>
              <w:rPr>
                <w:rFonts w:ascii="仿宋_GB2312" w:eastAsia="仿宋_GB2312" w:hAnsi="仿宋_GB2312" w:cs="仿宋_GB2312" w:hint="eastAsia"/>
                <w:b/>
                <w:bCs/>
                <w:color w:val="000000"/>
                <w:sz w:val="21"/>
                <w:szCs w:val="21"/>
                <w:lang w:val="en-GB"/>
              </w:rPr>
              <w:t>月</w:t>
            </w:r>
            <w:r>
              <w:rPr>
                <w:rFonts w:ascii="宋体" w:eastAsia="宋体" w:hAnsi="宋体" w:cs="宋体" w:hint="eastAsia"/>
                <w:b/>
                <w:bCs/>
                <w:color w:val="000000"/>
                <w:sz w:val="21"/>
                <w:szCs w:val="21"/>
                <w:lang w:val="en-GB"/>
              </w:rPr>
              <w:t>01</w:t>
            </w:r>
            <w:r>
              <w:rPr>
                <w:rFonts w:ascii="仿宋_GB2312" w:eastAsia="仿宋_GB2312" w:hAnsi="仿宋_GB2312" w:cs="仿宋_GB2312" w:hint="eastAsia"/>
                <w:b/>
                <w:bCs/>
                <w:color w:val="000000"/>
                <w:sz w:val="21"/>
                <w:szCs w:val="21"/>
                <w:lang w:val="en-GB"/>
              </w:rPr>
              <w:t>日</w:t>
            </w:r>
          </w:p>
        </w:tc>
        <w:tc>
          <w:tcPr>
            <w:tcW w:w="1319"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1418"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1275"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2102" w:type="dxa"/>
            <w:shd w:val="clear" w:color="auto" w:fill="FFFFFF" w:themeFill="background1"/>
            <w:vAlign w:val="center"/>
          </w:tcPr>
          <w:p w:rsidR="004F4AA1" w:rsidRDefault="004F4AA1">
            <w:pPr>
              <w:spacing w:after="0" w:line="240" w:lineRule="auto"/>
              <w:jc w:val="center"/>
              <w:rPr>
                <w:rFonts w:ascii="仿宋_GB2312" w:eastAsia="仿宋_GB2312" w:hAnsi="仿宋_GB2312" w:cs="仿宋_GB2312"/>
                <w:color w:val="000000"/>
                <w:sz w:val="21"/>
                <w:szCs w:val="21"/>
                <w:lang w:val="en-GB"/>
              </w:rPr>
            </w:pPr>
          </w:p>
        </w:tc>
      </w:tr>
      <w:tr w:rsidR="004F4AA1">
        <w:trPr>
          <w:trHeight w:val="230"/>
        </w:trPr>
        <w:tc>
          <w:tcPr>
            <w:tcW w:w="2900" w:type="dxa"/>
            <w:shd w:val="clear" w:color="auto" w:fill="FFFFFF" w:themeFill="background1"/>
          </w:tcPr>
          <w:p w:rsidR="004F4AA1" w:rsidRDefault="00EF4052">
            <w:pPr>
              <w:spacing w:after="0" w:line="240" w:lineRule="auto"/>
              <w:jc w:val="both"/>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资金池-本期划出[用“（）”表示]</w:t>
            </w:r>
          </w:p>
        </w:tc>
        <w:tc>
          <w:tcPr>
            <w:tcW w:w="1319" w:type="dxa"/>
            <w:shd w:val="clear" w:color="auto" w:fill="FFFFFF" w:themeFill="background1"/>
            <w:vAlign w:val="center"/>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w:t>
            </w:r>
            <w:r w:rsidRPr="009C06A3">
              <w:rPr>
                <w:rFonts w:ascii="宋体" w:eastAsia="宋体" w:hAnsi="宋体" w:cs="宋体" w:hint="eastAsia"/>
                <w:color w:val="000000"/>
                <w:sz w:val="21"/>
                <w:szCs w:val="21"/>
                <w:lang w:val="en-GB"/>
              </w:rPr>
              <w:t>200,000</w:t>
            </w:r>
            <w:r>
              <w:rPr>
                <w:rFonts w:ascii="宋体" w:eastAsia="宋体" w:hAnsi="宋体" w:cs="宋体" w:hint="eastAsia"/>
                <w:color w:val="000000"/>
                <w:sz w:val="21"/>
                <w:szCs w:val="21"/>
                <w:lang w:val="en-GB"/>
              </w:rPr>
              <w:t>)</w:t>
            </w:r>
          </w:p>
        </w:tc>
        <w:tc>
          <w:tcPr>
            <w:tcW w:w="1418" w:type="dxa"/>
            <w:shd w:val="clear" w:color="auto" w:fill="FFFFFF" w:themeFill="background1"/>
            <w:vAlign w:val="center"/>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(1,000,000)</w:t>
            </w:r>
          </w:p>
        </w:tc>
        <w:tc>
          <w:tcPr>
            <w:tcW w:w="1275" w:type="dxa"/>
            <w:shd w:val="clear" w:color="auto" w:fill="FFFFFF" w:themeFill="background1"/>
            <w:vAlign w:val="center"/>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(100,000)</w:t>
            </w:r>
          </w:p>
        </w:tc>
        <w:tc>
          <w:tcPr>
            <w:tcW w:w="2102" w:type="dxa"/>
            <w:shd w:val="clear" w:color="auto" w:fill="FFFFFF" w:themeFill="background1"/>
            <w:vAlign w:val="bottom"/>
          </w:tcPr>
          <w:p w:rsidR="004F4AA1" w:rsidRDefault="00EF4052">
            <w:pPr>
              <w:spacing w:after="0" w:line="240" w:lineRule="auto"/>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 </w:t>
            </w:r>
          </w:p>
        </w:tc>
      </w:tr>
      <w:tr w:rsidR="004F4AA1">
        <w:trPr>
          <w:trHeight w:val="230"/>
        </w:trPr>
        <w:tc>
          <w:tcPr>
            <w:tcW w:w="2900" w:type="dxa"/>
            <w:shd w:val="clear" w:color="auto" w:fill="FFFFFF" w:themeFill="background1"/>
            <w:vAlign w:val="bottom"/>
          </w:tcPr>
          <w:p w:rsidR="004F4AA1" w:rsidRDefault="00EF4052">
            <w:pPr>
              <w:spacing w:after="0" w:line="240" w:lineRule="auto"/>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资金池-本期划入</w:t>
            </w:r>
          </w:p>
        </w:tc>
        <w:tc>
          <w:tcPr>
            <w:tcW w:w="1319" w:type="dxa"/>
            <w:shd w:val="clear" w:color="auto" w:fill="FFFFFF" w:themeFill="background1"/>
            <w:vAlign w:val="bottom"/>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700,000</w:t>
            </w:r>
          </w:p>
        </w:tc>
        <w:tc>
          <w:tcPr>
            <w:tcW w:w="1418" w:type="dxa"/>
            <w:shd w:val="clear" w:color="auto" w:fill="FFFFFF" w:themeFill="background1"/>
            <w:vAlign w:val="bottom"/>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300,000</w:t>
            </w:r>
          </w:p>
        </w:tc>
        <w:tc>
          <w:tcPr>
            <w:tcW w:w="1275" w:type="dxa"/>
            <w:shd w:val="clear" w:color="auto" w:fill="FFFFFF" w:themeFill="background1"/>
            <w:vAlign w:val="bottom"/>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300,000</w:t>
            </w:r>
          </w:p>
        </w:tc>
        <w:tc>
          <w:tcPr>
            <w:tcW w:w="2102" w:type="dxa"/>
            <w:shd w:val="clear" w:color="auto" w:fill="FFFFFF" w:themeFill="background1"/>
            <w:vAlign w:val="bottom"/>
          </w:tcPr>
          <w:p w:rsidR="004F4AA1" w:rsidRDefault="00EF4052">
            <w:pPr>
              <w:spacing w:after="0" w:line="240" w:lineRule="auto"/>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 </w:t>
            </w:r>
          </w:p>
        </w:tc>
      </w:tr>
      <w:tr w:rsidR="004F4AA1">
        <w:trPr>
          <w:trHeight w:val="230"/>
        </w:trPr>
        <w:tc>
          <w:tcPr>
            <w:tcW w:w="2900" w:type="dxa"/>
            <w:shd w:val="clear" w:color="auto" w:fill="FFFFFF" w:themeFill="background1"/>
            <w:vAlign w:val="center"/>
          </w:tcPr>
          <w:p w:rsidR="004F4AA1" w:rsidRDefault="00EF4052">
            <w:pPr>
              <w:spacing w:after="0" w:line="240" w:lineRule="auto"/>
              <w:jc w:val="center"/>
              <w:rPr>
                <w:rFonts w:ascii="仿宋_GB2312" w:eastAsia="仿宋_GB2312" w:hAnsi="仿宋_GB2312" w:cs="仿宋_GB2312"/>
                <w:color w:val="000000"/>
                <w:sz w:val="21"/>
                <w:szCs w:val="21"/>
                <w:lang w:val="en-GB"/>
              </w:rPr>
            </w:pPr>
            <w:r>
              <w:rPr>
                <w:rFonts w:ascii="仿宋_GB2312" w:eastAsia="仿宋_GB2312" w:hAnsi="仿宋_GB2312" w:cs="仿宋_GB2312" w:hint="eastAsia"/>
                <w:color w:val="000000"/>
                <w:sz w:val="21"/>
                <w:szCs w:val="21"/>
                <w:lang w:val="en-GB"/>
              </w:rPr>
              <w:t>自有资金收支-增加/（减少）</w:t>
            </w:r>
          </w:p>
        </w:tc>
        <w:tc>
          <w:tcPr>
            <w:tcW w:w="1319" w:type="dxa"/>
            <w:shd w:val="clear" w:color="auto" w:fill="FFFFFF" w:themeFill="background1"/>
            <w:vAlign w:val="center"/>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1,000,000</w:t>
            </w:r>
          </w:p>
        </w:tc>
        <w:tc>
          <w:tcPr>
            <w:tcW w:w="1418" w:type="dxa"/>
            <w:shd w:val="clear" w:color="auto" w:fill="FFFFFF" w:themeFill="background1"/>
            <w:vAlign w:val="center"/>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800,000</w:t>
            </w:r>
          </w:p>
        </w:tc>
        <w:tc>
          <w:tcPr>
            <w:tcW w:w="1275" w:type="dxa"/>
            <w:shd w:val="clear" w:color="auto" w:fill="FFFFFF" w:themeFill="background1"/>
            <w:vAlign w:val="center"/>
          </w:tcPr>
          <w:p w:rsidR="004F4AA1" w:rsidRDefault="00EF4052">
            <w:pPr>
              <w:spacing w:after="0" w:line="240" w:lineRule="auto"/>
              <w:jc w:val="center"/>
              <w:rPr>
                <w:rFonts w:ascii="宋体" w:eastAsia="宋体" w:hAnsi="宋体" w:cs="宋体"/>
                <w:color w:val="000000"/>
                <w:sz w:val="21"/>
                <w:szCs w:val="21"/>
                <w:lang w:val="en-GB"/>
              </w:rPr>
            </w:pPr>
            <w:r>
              <w:rPr>
                <w:rFonts w:ascii="宋体" w:eastAsia="宋体" w:hAnsi="宋体" w:cs="宋体" w:hint="eastAsia"/>
                <w:color w:val="000000"/>
                <w:sz w:val="21"/>
                <w:szCs w:val="21"/>
                <w:lang w:val="en-GB"/>
              </w:rPr>
              <w:t>(200,000)</w:t>
            </w:r>
          </w:p>
        </w:tc>
        <w:tc>
          <w:tcPr>
            <w:tcW w:w="2102" w:type="dxa"/>
            <w:shd w:val="clear" w:color="auto" w:fill="FFFFFF" w:themeFill="background1"/>
            <w:vAlign w:val="bottom"/>
          </w:tcPr>
          <w:p w:rsidR="004F4AA1" w:rsidRDefault="00EF4052">
            <w:pPr>
              <w:spacing w:after="0" w:line="240" w:lineRule="auto"/>
              <w:rPr>
                <w:rFonts w:ascii="仿宋_GB2312" w:eastAsia="仿宋_GB2312" w:hAnsi="仿宋_GB2312" w:cs="仿宋_GB2312"/>
                <w:i/>
                <w:iCs/>
                <w:color w:val="000000"/>
                <w:sz w:val="21"/>
                <w:szCs w:val="21"/>
                <w:lang w:val="en-GB"/>
              </w:rPr>
            </w:pPr>
            <w:r>
              <w:rPr>
                <w:rFonts w:ascii="仿宋_GB2312" w:eastAsia="仿宋_GB2312" w:hAnsi="仿宋_GB2312" w:cs="仿宋_GB2312" w:hint="eastAsia"/>
                <w:i/>
                <w:iCs/>
                <w:color w:val="000000"/>
                <w:sz w:val="21"/>
                <w:szCs w:val="21"/>
                <w:lang w:val="en-GB"/>
              </w:rPr>
              <w:t>假定期初全部账户余额为零</w:t>
            </w:r>
          </w:p>
        </w:tc>
      </w:tr>
      <w:tr w:rsidR="004F4AA1">
        <w:trPr>
          <w:trHeight w:val="230"/>
        </w:trPr>
        <w:tc>
          <w:tcPr>
            <w:tcW w:w="2900" w:type="dxa"/>
            <w:shd w:val="clear" w:color="auto" w:fill="FFFFFF" w:themeFill="background1"/>
            <w:vAlign w:val="bottom"/>
          </w:tcPr>
          <w:p w:rsidR="004F4AA1" w:rsidRDefault="00EF4052">
            <w:pPr>
              <w:spacing w:after="0" w:line="240" w:lineRule="auto"/>
              <w:rPr>
                <w:rFonts w:ascii="仿宋_GB2312" w:eastAsia="仿宋_GB2312" w:hAnsi="仿宋_GB2312" w:cs="仿宋_GB2312"/>
                <w:b/>
                <w:bCs/>
                <w:color w:val="000000"/>
                <w:sz w:val="21"/>
                <w:szCs w:val="21"/>
                <w:lang w:val="en-GB"/>
              </w:rPr>
            </w:pPr>
            <w:r>
              <w:rPr>
                <w:rFonts w:ascii="宋体" w:eastAsia="宋体" w:hAnsi="宋体" w:cs="宋体" w:hint="eastAsia"/>
                <w:b/>
                <w:bCs/>
                <w:color w:val="000000"/>
                <w:sz w:val="21"/>
                <w:szCs w:val="21"/>
                <w:lang w:val="en-GB"/>
              </w:rPr>
              <w:t>20</w:t>
            </w:r>
            <w:r>
              <w:rPr>
                <w:rFonts w:ascii="仿宋_GB2312" w:eastAsia="仿宋_GB2312" w:hAnsi="仿宋_GB2312" w:cs="仿宋_GB2312" w:hint="eastAsia"/>
                <w:b/>
                <w:bCs/>
                <w:color w:val="000000"/>
                <w:sz w:val="21"/>
                <w:szCs w:val="21"/>
                <w:lang w:val="en-GB"/>
              </w:rPr>
              <w:t>××年</w:t>
            </w:r>
            <w:r>
              <w:rPr>
                <w:rFonts w:ascii="宋体" w:eastAsia="宋体" w:hAnsi="宋体" w:cs="宋体" w:hint="eastAsia"/>
                <w:b/>
                <w:bCs/>
                <w:color w:val="000000"/>
                <w:sz w:val="21"/>
                <w:szCs w:val="21"/>
                <w:lang w:val="en-GB"/>
              </w:rPr>
              <w:t>12</w:t>
            </w:r>
            <w:r>
              <w:rPr>
                <w:rFonts w:ascii="仿宋_GB2312" w:eastAsia="仿宋_GB2312" w:hAnsi="仿宋_GB2312" w:cs="仿宋_GB2312" w:hint="eastAsia"/>
                <w:b/>
                <w:bCs/>
                <w:color w:val="000000"/>
                <w:sz w:val="21"/>
                <w:szCs w:val="21"/>
                <w:lang w:val="en-GB"/>
              </w:rPr>
              <w:t>月</w:t>
            </w:r>
            <w:r>
              <w:rPr>
                <w:rFonts w:ascii="宋体" w:eastAsia="宋体" w:hAnsi="宋体" w:cs="宋体" w:hint="eastAsia"/>
                <w:b/>
                <w:bCs/>
                <w:color w:val="000000"/>
                <w:sz w:val="21"/>
                <w:szCs w:val="21"/>
                <w:lang w:val="en-GB"/>
              </w:rPr>
              <w:t>31</w:t>
            </w:r>
            <w:r>
              <w:rPr>
                <w:rFonts w:ascii="仿宋_GB2312" w:eastAsia="仿宋_GB2312" w:hAnsi="仿宋_GB2312" w:cs="仿宋_GB2312" w:hint="eastAsia"/>
                <w:b/>
                <w:bCs/>
                <w:color w:val="000000"/>
                <w:sz w:val="21"/>
                <w:szCs w:val="21"/>
                <w:lang w:val="en-GB"/>
              </w:rPr>
              <w:t>日实际余额</w:t>
            </w:r>
          </w:p>
        </w:tc>
        <w:tc>
          <w:tcPr>
            <w:tcW w:w="1319" w:type="dxa"/>
            <w:shd w:val="clear" w:color="auto" w:fill="FFFFFF" w:themeFill="background1"/>
            <w:vAlign w:val="bottom"/>
          </w:tcPr>
          <w:p w:rsidR="004F4AA1" w:rsidRDefault="00EF4052">
            <w:pPr>
              <w:spacing w:after="0" w:line="240" w:lineRule="auto"/>
              <w:jc w:val="center"/>
              <w:rPr>
                <w:rFonts w:ascii="宋体" w:eastAsia="宋体" w:hAnsi="宋体" w:cs="宋体"/>
                <w:b/>
                <w:bCs/>
                <w:color w:val="000000"/>
                <w:sz w:val="21"/>
                <w:szCs w:val="21"/>
                <w:lang w:val="en-GB"/>
              </w:rPr>
            </w:pPr>
            <w:r>
              <w:rPr>
                <w:rFonts w:ascii="宋体" w:eastAsia="宋体" w:hAnsi="宋体" w:cs="宋体" w:hint="eastAsia"/>
                <w:b/>
                <w:bCs/>
                <w:color w:val="000000"/>
                <w:sz w:val="21"/>
                <w:szCs w:val="21"/>
                <w:lang w:val="en-GB"/>
              </w:rPr>
              <w:t>1,500,000</w:t>
            </w:r>
          </w:p>
        </w:tc>
        <w:tc>
          <w:tcPr>
            <w:tcW w:w="1418" w:type="dxa"/>
            <w:shd w:val="clear" w:color="auto" w:fill="FFFFFF" w:themeFill="background1"/>
            <w:vAlign w:val="bottom"/>
          </w:tcPr>
          <w:p w:rsidR="004F4AA1" w:rsidRDefault="00EF4052">
            <w:pPr>
              <w:spacing w:after="0" w:line="240" w:lineRule="auto"/>
              <w:jc w:val="center"/>
              <w:rPr>
                <w:rFonts w:ascii="宋体" w:eastAsia="宋体" w:hAnsi="宋体" w:cs="宋体"/>
                <w:b/>
                <w:bCs/>
                <w:color w:val="000000"/>
                <w:sz w:val="21"/>
                <w:szCs w:val="21"/>
                <w:lang w:val="en-GB"/>
              </w:rPr>
            </w:pPr>
            <w:r>
              <w:rPr>
                <w:rFonts w:ascii="宋体" w:eastAsia="宋体" w:hAnsi="宋体" w:cs="宋体" w:hint="eastAsia"/>
                <w:b/>
                <w:bCs/>
                <w:color w:val="000000"/>
                <w:sz w:val="21"/>
                <w:szCs w:val="21"/>
                <w:lang w:val="en-GB"/>
              </w:rPr>
              <w:t>100,000</w:t>
            </w:r>
          </w:p>
        </w:tc>
        <w:tc>
          <w:tcPr>
            <w:tcW w:w="1275" w:type="dxa"/>
            <w:shd w:val="clear" w:color="auto" w:fill="FFFFFF" w:themeFill="background1"/>
            <w:vAlign w:val="bottom"/>
          </w:tcPr>
          <w:p w:rsidR="004F4AA1" w:rsidRDefault="00EF4052">
            <w:pPr>
              <w:spacing w:after="0" w:line="240" w:lineRule="auto"/>
              <w:jc w:val="center"/>
              <w:rPr>
                <w:rFonts w:ascii="仿宋_GB2312" w:eastAsia="仿宋_GB2312" w:hAnsi="仿宋_GB2312" w:cs="仿宋_GB2312"/>
                <w:b/>
                <w:bCs/>
                <w:color w:val="000000"/>
                <w:sz w:val="21"/>
                <w:szCs w:val="21"/>
                <w:lang w:val="en-GB"/>
              </w:rPr>
            </w:pPr>
            <w:r>
              <w:rPr>
                <w:rFonts w:ascii="仿宋_GB2312" w:eastAsia="仿宋_GB2312" w:hAnsi="仿宋_GB2312" w:cs="仿宋_GB2312" w:hint="eastAsia"/>
                <w:b/>
                <w:bCs/>
                <w:color w:val="000000"/>
                <w:sz w:val="21"/>
                <w:szCs w:val="21"/>
                <w:lang w:val="en-GB"/>
              </w:rPr>
              <w:t>-</w:t>
            </w:r>
          </w:p>
        </w:tc>
        <w:tc>
          <w:tcPr>
            <w:tcW w:w="2102" w:type="dxa"/>
            <w:shd w:val="clear" w:color="auto" w:fill="FFFFFF" w:themeFill="background1"/>
            <w:vAlign w:val="bottom"/>
          </w:tcPr>
          <w:p w:rsidR="004F4AA1" w:rsidRDefault="004F4AA1">
            <w:pPr>
              <w:spacing w:after="0" w:line="240" w:lineRule="auto"/>
              <w:rPr>
                <w:rFonts w:ascii="仿宋_GB2312" w:eastAsia="仿宋_GB2312" w:hAnsi="仿宋_GB2312" w:cs="仿宋_GB2312"/>
                <w:i/>
                <w:iCs/>
                <w:color w:val="000000"/>
                <w:sz w:val="21"/>
                <w:szCs w:val="21"/>
                <w:lang w:val="en-GB"/>
              </w:rPr>
            </w:pPr>
          </w:p>
        </w:tc>
      </w:tr>
    </w:tbl>
    <w:p w:rsidR="004F4AA1" w:rsidRDefault="00EF4052">
      <w:pPr>
        <w:spacing w:after="0" w:line="580" w:lineRule="exact"/>
        <w:ind w:firstLineChars="200" w:firstLine="560"/>
        <w:rPr>
          <w:rFonts w:ascii="仿宋_GB2312" w:eastAsia="仿宋_GB2312" w:hAnsi="仿宋_GB2312" w:cs="仿宋_GB2312"/>
          <w:sz w:val="28"/>
          <w:szCs w:val="24"/>
          <w:lang w:val="en-GB"/>
        </w:rPr>
      </w:pPr>
      <w:r>
        <w:rPr>
          <w:rFonts w:ascii="仿宋_GB2312" w:eastAsia="仿宋_GB2312" w:hAnsi="仿宋_GB2312" w:cs="仿宋_GB2312" w:hint="eastAsia"/>
          <w:sz w:val="28"/>
          <w:szCs w:val="24"/>
          <w:lang w:val="en-GB"/>
        </w:rPr>
        <w:lastRenderedPageBreak/>
        <w:t>3．假定M1会计师事务所受聘执行X集团</w:t>
      </w:r>
      <w:r>
        <w:rPr>
          <w:rFonts w:ascii="宋体" w:eastAsia="宋体" w:hAnsi="宋体" w:cs="宋体" w:hint="eastAsia"/>
          <w:sz w:val="28"/>
          <w:szCs w:val="24"/>
          <w:lang w:val="en-GB"/>
        </w:rPr>
        <w:t>20</w:t>
      </w:r>
      <w:r>
        <w:rPr>
          <w:rFonts w:ascii="仿宋_GB2312" w:eastAsia="仿宋_GB2312" w:hAnsi="仿宋_GB2312" w:cs="仿宋_GB2312" w:hint="eastAsia"/>
          <w:sz w:val="28"/>
          <w:szCs w:val="24"/>
          <w:lang w:val="en-GB"/>
        </w:rPr>
        <w:t>××年度集团审计，其中母公司X由M</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会计师事务所集团项目组亲自审计，M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会计师事务所为组成部分注册会计师，基于集团审计目的对子公司B及其下属分支机构C实施审计的同时执行对子公司B及其下属分支机构C的法定审计业务，M</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会计师事务所利用M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会计师事务所的工作获取形成集团审计意见所需的审计证据，并对M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会计师事务所的工作进行复核。</w:t>
      </w:r>
    </w:p>
    <w:p w:rsidR="004F4AA1" w:rsidRDefault="00EF4052">
      <w:pPr>
        <w:spacing w:after="0" w:line="58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二、函证方式</w:t>
      </w:r>
    </w:p>
    <w:p w:rsidR="004F4AA1" w:rsidRDefault="00EF4052">
      <w:pPr>
        <w:spacing w:after="0" w:line="560" w:lineRule="exact"/>
        <w:ind w:firstLineChars="200"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（一）针对主账户：M</w:t>
      </w:r>
      <w:r>
        <w:rPr>
          <w:rFonts w:ascii="宋体" w:eastAsia="宋体" w:hAnsi="宋体" w:cs="宋体" w:hint="eastAsia"/>
          <w:b/>
          <w:sz w:val="28"/>
          <w:szCs w:val="24"/>
          <w:lang w:val="en-GB"/>
        </w:rPr>
        <w:t>1</w:t>
      </w:r>
      <w:r>
        <w:rPr>
          <w:rFonts w:ascii="仿宋_GB2312" w:eastAsia="仿宋_GB2312" w:hAnsi="仿宋_GB2312" w:cs="仿宋_GB2312" w:hint="eastAsia"/>
          <w:b/>
          <w:sz w:val="28"/>
          <w:szCs w:val="24"/>
          <w:lang w:val="en-GB"/>
        </w:rPr>
        <w:t>会计师事务所对X集团母公司（即X公司）主账户</w:t>
      </w:r>
      <w:r>
        <w:rPr>
          <w:rFonts w:ascii="宋体" w:eastAsia="宋体" w:hAnsi="宋体" w:cs="宋体" w:hint="eastAsia"/>
          <w:b/>
          <w:sz w:val="28"/>
          <w:szCs w:val="24"/>
          <w:lang w:val="en-GB"/>
        </w:rPr>
        <w:t>001</w:t>
      </w:r>
      <w:r>
        <w:rPr>
          <w:rFonts w:ascii="仿宋_GB2312" w:eastAsia="仿宋_GB2312" w:hAnsi="仿宋_GB2312" w:cs="仿宋_GB2312" w:hint="eastAsia"/>
          <w:b/>
          <w:sz w:val="28"/>
          <w:szCs w:val="24"/>
          <w:lang w:val="en-GB"/>
        </w:rPr>
        <w:t>账户的资金归集信息进行函证。</w:t>
      </w:r>
    </w:p>
    <w:p w:rsidR="004F4AA1" w:rsidRDefault="00EF4052">
      <w:pPr>
        <w:pStyle w:val="a4"/>
        <w:spacing w:line="360" w:lineRule="auto"/>
        <w:ind w:firstLineChars="200" w:firstLine="422"/>
        <w:rPr>
          <w:rFonts w:ascii="仿宋_GB2312" w:eastAsia="仿宋_GB2312" w:hAnsi="仿宋_GB2312" w:cs="仿宋_GB2312"/>
          <w:b/>
          <w:sz w:val="21"/>
          <w:szCs w:val="21"/>
        </w:rPr>
      </w:pPr>
      <w:r>
        <w:rPr>
          <w:rFonts w:ascii="仿宋_GB2312" w:eastAsia="仿宋_GB2312" w:hAnsi="仿宋_GB2312" w:cs="仿宋_GB2312" w:hint="eastAsia"/>
          <w:b/>
          <w:sz w:val="21"/>
          <w:szCs w:val="21"/>
        </w:rPr>
        <w:t>1．银行存款</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546"/>
        <w:gridCol w:w="437"/>
        <w:gridCol w:w="437"/>
        <w:gridCol w:w="1117"/>
        <w:gridCol w:w="1096"/>
        <w:gridCol w:w="971"/>
        <w:gridCol w:w="685"/>
        <w:gridCol w:w="437"/>
        <w:gridCol w:w="1059"/>
        <w:gridCol w:w="1278"/>
      </w:tblGrid>
      <w:tr w:rsidR="004F4AA1">
        <w:trPr>
          <w:tblHeader/>
          <w:jc w:val="center"/>
        </w:trPr>
        <w:tc>
          <w:tcPr>
            <w:tcW w:w="43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w:t>
            </w:r>
          </w:p>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名称</w:t>
            </w:r>
          </w:p>
        </w:tc>
        <w:tc>
          <w:tcPr>
            <w:tcW w:w="546"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银行</w:t>
            </w:r>
          </w:p>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账号</w:t>
            </w:r>
          </w:p>
        </w:tc>
        <w:tc>
          <w:tcPr>
            <w:tcW w:w="43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币种</w:t>
            </w:r>
          </w:p>
        </w:tc>
        <w:tc>
          <w:tcPr>
            <w:tcW w:w="43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利率</w:t>
            </w:r>
          </w:p>
        </w:tc>
        <w:tc>
          <w:tcPr>
            <w:tcW w:w="111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账户类型</w:t>
            </w:r>
          </w:p>
        </w:tc>
        <w:tc>
          <w:tcPr>
            <w:tcW w:w="1096"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账户余额</w:t>
            </w:r>
          </w:p>
        </w:tc>
        <w:tc>
          <w:tcPr>
            <w:tcW w:w="971"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是否属于资金归集（资金池或其他资金管理）账户</w:t>
            </w:r>
          </w:p>
        </w:tc>
        <w:tc>
          <w:tcPr>
            <w:tcW w:w="685"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起始日期</w:t>
            </w:r>
          </w:p>
        </w:tc>
        <w:tc>
          <w:tcPr>
            <w:tcW w:w="43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终止日期</w:t>
            </w:r>
          </w:p>
        </w:tc>
        <w:tc>
          <w:tcPr>
            <w:tcW w:w="1059"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是否存在冻结、担保或其他使用限制</w:t>
            </w:r>
          </w:p>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（如是，请注明）</w:t>
            </w:r>
          </w:p>
        </w:tc>
        <w:tc>
          <w:tcPr>
            <w:tcW w:w="1278"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备注</w:t>
            </w:r>
          </w:p>
        </w:tc>
      </w:tr>
      <w:tr w:rsidR="004F4AA1">
        <w:trPr>
          <w:jc w:val="center"/>
        </w:trPr>
        <w:tc>
          <w:tcPr>
            <w:tcW w:w="437" w:type="dxa"/>
            <w:vAlign w:val="center"/>
          </w:tcPr>
          <w:p w:rsidR="004F4AA1" w:rsidRDefault="00EF4052">
            <w:pPr>
              <w:pStyle w:val="a4"/>
              <w:spacing w:after="0" w:line="360" w:lineRule="auto"/>
              <w:jc w:val="center"/>
              <w:rPr>
                <w:rFonts w:ascii="仿宋_GB2312" w:eastAsia="仿宋_GB2312" w:hAnsi="仿宋_GB2312" w:cs="仿宋_GB2312"/>
                <w:szCs w:val="21"/>
                <w:lang w:val="en-GB"/>
              </w:rPr>
            </w:pPr>
            <w:r>
              <w:rPr>
                <w:rFonts w:ascii="仿宋_GB2312" w:eastAsia="仿宋_GB2312" w:hAnsi="仿宋_GB2312" w:cs="仿宋_GB2312" w:hint="eastAsia"/>
                <w:szCs w:val="21"/>
              </w:rPr>
              <w:t>X</w:t>
            </w:r>
            <w:r>
              <w:rPr>
                <w:rFonts w:ascii="仿宋_GB2312" w:eastAsia="仿宋_GB2312" w:hAnsi="仿宋_GB2312" w:cs="仿宋_GB2312" w:hint="eastAsia"/>
                <w:szCs w:val="21"/>
                <w:lang w:val="en-GB"/>
              </w:rPr>
              <w:t>公司</w:t>
            </w:r>
          </w:p>
        </w:tc>
        <w:tc>
          <w:tcPr>
            <w:tcW w:w="546"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eastAsia="宋体" w:hAnsi="宋体" w:cs="宋体" w:hint="eastAsia"/>
                <w:szCs w:val="21"/>
              </w:rPr>
              <w:t>001</w:t>
            </w:r>
          </w:p>
        </w:tc>
        <w:tc>
          <w:tcPr>
            <w:tcW w:w="437"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437"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活期</w:t>
            </w:r>
          </w:p>
        </w:tc>
        <w:tc>
          <w:tcPr>
            <w:tcW w:w="1117"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专用存款账户（资金归集主账户）</w:t>
            </w:r>
          </w:p>
        </w:tc>
        <w:tc>
          <w:tcPr>
            <w:tcW w:w="1096"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eastAsia="宋体" w:hAnsi="宋体" w:cs="宋体" w:hint="eastAsia"/>
                <w:szCs w:val="21"/>
              </w:rPr>
              <w:t>1,500,000</w:t>
            </w:r>
          </w:p>
        </w:tc>
        <w:tc>
          <w:tcPr>
            <w:tcW w:w="971"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是</w:t>
            </w:r>
          </w:p>
        </w:tc>
        <w:tc>
          <w:tcPr>
            <w:tcW w:w="685" w:type="dxa"/>
            <w:vAlign w:val="center"/>
          </w:tcPr>
          <w:p w:rsidR="004F4AA1" w:rsidRDefault="00EF4052">
            <w:pPr>
              <w:pStyle w:val="a4"/>
              <w:spacing w:line="360" w:lineRule="auto"/>
              <w:jc w:val="both"/>
              <w:rPr>
                <w:rFonts w:ascii="仿宋_GB2312" w:eastAsia="仿宋_GB2312" w:hAnsi="仿宋_GB2312" w:cs="仿宋_GB2312"/>
                <w:szCs w:val="21"/>
              </w:rPr>
            </w:pPr>
            <w:r>
              <w:rPr>
                <w:rFonts w:eastAsia="宋体" w:hAnsi="宋体" w:cs="宋体" w:hint="eastAsia"/>
                <w:szCs w:val="21"/>
              </w:rPr>
              <w:t>20</w:t>
            </w:r>
            <w:r>
              <w:rPr>
                <w:rFonts w:ascii="仿宋_GB2312" w:eastAsia="仿宋_GB2312" w:hAnsi="仿宋_GB2312" w:cs="仿宋_GB2312" w:hint="eastAsia"/>
                <w:szCs w:val="21"/>
              </w:rPr>
              <w:t>××年1月1日</w:t>
            </w:r>
          </w:p>
        </w:tc>
        <w:tc>
          <w:tcPr>
            <w:tcW w:w="437"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c>
          <w:tcPr>
            <w:tcW w:w="1059"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否</w:t>
            </w:r>
          </w:p>
        </w:tc>
        <w:tc>
          <w:tcPr>
            <w:tcW w:w="1278"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按照资金归集协议，账户余额以实际余额方式呈现</w:t>
            </w:r>
          </w:p>
        </w:tc>
      </w:tr>
    </w:tbl>
    <w:p w:rsidR="004F4AA1" w:rsidRDefault="00EF4052">
      <w:pPr>
        <w:pStyle w:val="a4"/>
        <w:spacing w:after="0" w:line="360" w:lineRule="auto"/>
        <w:ind w:firstLineChars="200" w:firstLine="440"/>
        <w:rPr>
          <w:rFonts w:ascii="仿宋_GB2312" w:eastAsia="仿宋_GB2312" w:hAnsi="仿宋_GB2312" w:cs="仿宋_GB2312"/>
          <w:szCs w:val="21"/>
        </w:rPr>
      </w:pPr>
      <w:r>
        <w:rPr>
          <w:rFonts w:ascii="仿宋_GB2312" w:eastAsia="仿宋_GB2312" w:hAnsi="仿宋_GB2312" w:cs="仿宋_GB2312" w:hint="eastAsia"/>
          <w:szCs w:val="21"/>
        </w:rPr>
        <w:t>除上述列示的银行存款（包括余额为零的存款账户）外，本公司并无在贵行的其他存款。</w:t>
      </w:r>
    </w:p>
    <w:p w:rsidR="004F4AA1" w:rsidRDefault="004F4AA1">
      <w:pPr>
        <w:pStyle w:val="a4"/>
        <w:spacing w:after="0" w:line="360" w:lineRule="auto"/>
        <w:ind w:firstLineChars="200" w:firstLine="440"/>
        <w:rPr>
          <w:rFonts w:ascii="仿宋_GB2312" w:eastAsia="仿宋_GB2312" w:hAnsi="仿宋_GB2312" w:cs="仿宋_GB2312"/>
          <w:szCs w:val="21"/>
        </w:rPr>
      </w:pPr>
    </w:p>
    <w:p w:rsidR="004F4AA1" w:rsidRDefault="00EF4052">
      <w:pPr>
        <w:ind w:firstLineChars="200" w:firstLine="442"/>
        <w:rPr>
          <w:rFonts w:ascii="仿宋_GB2312" w:eastAsia="仿宋_GB2312" w:hAnsi="仿宋_GB2312" w:cs="仿宋_GB2312"/>
          <w:b/>
          <w:szCs w:val="21"/>
        </w:rPr>
      </w:pPr>
      <w:r>
        <w:rPr>
          <w:rFonts w:ascii="宋体" w:eastAsia="宋体" w:hAnsi="宋体" w:cs="宋体" w:hint="eastAsia"/>
          <w:b/>
          <w:bCs/>
          <w:szCs w:val="21"/>
        </w:rPr>
        <w:t>2.</w:t>
      </w:r>
      <w:r>
        <w:rPr>
          <w:rFonts w:ascii="仿宋_GB2312" w:eastAsia="仿宋_GB2312" w:hAnsi="仿宋_GB2312" w:cs="仿宋_GB2312" w:hint="eastAsia"/>
          <w:b/>
          <w:szCs w:val="21"/>
        </w:rPr>
        <w:t>附表：资金归集（资金池或其他资金管理）账户具体信息</w:t>
      </w:r>
    </w:p>
    <w:tbl>
      <w:tblPr>
        <w:tblStyle w:val="ac"/>
        <w:tblW w:w="8296" w:type="dxa"/>
        <w:tblLayout w:type="fixed"/>
        <w:tblLook w:val="04A0" w:firstRow="1" w:lastRow="0" w:firstColumn="1" w:lastColumn="0" w:noHBand="0" w:noVBand="1"/>
      </w:tblPr>
      <w:tblGrid>
        <w:gridCol w:w="561"/>
        <w:gridCol w:w="1107"/>
        <w:gridCol w:w="914"/>
        <w:gridCol w:w="1143"/>
        <w:gridCol w:w="801"/>
        <w:gridCol w:w="969"/>
        <w:gridCol w:w="1984"/>
        <w:gridCol w:w="817"/>
      </w:tblGrid>
      <w:tr w:rsidR="004F4AA1">
        <w:tc>
          <w:tcPr>
            <w:tcW w:w="561"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序号</w:t>
            </w:r>
          </w:p>
        </w:tc>
        <w:tc>
          <w:tcPr>
            <w:tcW w:w="1107"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资金提供机构名称</w:t>
            </w:r>
            <w:r>
              <w:rPr>
                <w:rFonts w:ascii="仿宋_GB2312" w:eastAsia="仿宋_GB2312" w:hAnsi="仿宋_GB2312" w:cs="仿宋_GB2312" w:hint="eastAsia"/>
                <w:b/>
                <w:color w:val="000000"/>
                <w:szCs w:val="21"/>
                <w:lang w:val="en-GB"/>
              </w:rPr>
              <w:br/>
              <w:t>（即拨入资金的具体机构）</w:t>
            </w:r>
          </w:p>
        </w:tc>
        <w:tc>
          <w:tcPr>
            <w:tcW w:w="914"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资金提供机构账号</w:t>
            </w:r>
          </w:p>
        </w:tc>
        <w:tc>
          <w:tcPr>
            <w:tcW w:w="1143"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资金使用机构名称</w:t>
            </w:r>
            <w:r>
              <w:rPr>
                <w:rFonts w:ascii="仿宋_GB2312" w:eastAsia="仿宋_GB2312" w:hAnsi="仿宋_GB2312" w:cs="仿宋_GB2312" w:hint="eastAsia"/>
                <w:b/>
                <w:color w:val="000000"/>
                <w:szCs w:val="21"/>
                <w:lang w:val="en-GB"/>
              </w:rPr>
              <w:br/>
              <w:t>（即向该具体机构拨出资金）</w:t>
            </w:r>
          </w:p>
        </w:tc>
        <w:tc>
          <w:tcPr>
            <w:tcW w:w="801"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资金使用机构账号</w:t>
            </w:r>
          </w:p>
        </w:tc>
        <w:tc>
          <w:tcPr>
            <w:tcW w:w="969"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币种</w:t>
            </w:r>
          </w:p>
        </w:tc>
        <w:tc>
          <w:tcPr>
            <w:tcW w:w="1984"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截至函证基准日拨入或拨出资金余额</w:t>
            </w:r>
            <w:r>
              <w:rPr>
                <w:rFonts w:ascii="仿宋_GB2312" w:eastAsia="仿宋_GB2312" w:hAnsi="仿宋_GB2312" w:cs="仿宋_GB2312" w:hint="eastAsia"/>
                <w:b/>
                <w:color w:val="000000"/>
                <w:szCs w:val="21"/>
                <w:lang w:val="en-GB"/>
              </w:rPr>
              <w:br/>
              <w:t>（拨出填列正数，拨入填列负数）</w:t>
            </w:r>
          </w:p>
        </w:tc>
        <w:tc>
          <w:tcPr>
            <w:tcW w:w="817"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备注</w:t>
            </w:r>
          </w:p>
        </w:tc>
      </w:tr>
      <w:tr w:rsidR="004F4AA1">
        <w:tc>
          <w:tcPr>
            <w:tcW w:w="561" w:type="dxa"/>
          </w:tcPr>
          <w:p w:rsidR="004F4AA1" w:rsidRDefault="00EF4052">
            <w:pPr>
              <w:spacing w:after="0" w:line="360" w:lineRule="auto"/>
              <w:rPr>
                <w:rFonts w:ascii="仿宋_GB2312" w:eastAsia="仿宋_GB2312" w:hAnsi="仿宋_GB2312" w:cs="仿宋_GB2312"/>
                <w:color w:val="000000"/>
                <w:sz w:val="24"/>
                <w:szCs w:val="24"/>
                <w:lang w:val="en-GB"/>
              </w:rPr>
            </w:pPr>
            <w:r>
              <w:rPr>
                <w:rFonts w:ascii="宋体" w:eastAsia="宋体" w:hAnsi="宋体" w:cs="宋体" w:hint="eastAsia"/>
                <w:color w:val="000000"/>
                <w:sz w:val="24"/>
                <w:szCs w:val="24"/>
                <w:lang w:val="en-GB"/>
              </w:rPr>
              <w:t>1</w:t>
            </w:r>
          </w:p>
        </w:tc>
        <w:tc>
          <w:tcPr>
            <w:tcW w:w="1107"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子公司B</w:t>
            </w:r>
          </w:p>
        </w:tc>
        <w:tc>
          <w:tcPr>
            <w:tcW w:w="914" w:type="dxa"/>
          </w:tcPr>
          <w:p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020</w:t>
            </w:r>
          </w:p>
        </w:tc>
        <w:tc>
          <w:tcPr>
            <w:tcW w:w="1143"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noProof/>
                <w:szCs w:val="21"/>
              </w:rPr>
              <w:drawing>
                <wp:inline distT="0" distB="0" distL="0" distR="0">
                  <wp:extent cx="15875" cy="15875"/>
                  <wp:effectExtent l="0" t="0" r="0" b="0"/>
                  <wp:docPr id="1"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id:_Foxmail.1@752c7e8a-18e1-276e-cd8c-a99c1141dafc"/>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仿宋_GB2312" w:eastAsia="仿宋_GB2312" w:hAnsi="仿宋_GB2312" w:cs="仿宋_GB2312" w:hint="eastAsia"/>
                <w:szCs w:val="21"/>
              </w:rPr>
              <w:t>母公司X</w:t>
            </w:r>
          </w:p>
        </w:tc>
        <w:tc>
          <w:tcPr>
            <w:tcW w:w="801" w:type="dxa"/>
          </w:tcPr>
          <w:p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001</w:t>
            </w:r>
          </w:p>
        </w:tc>
        <w:tc>
          <w:tcPr>
            <w:tcW w:w="969"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1984" w:type="dxa"/>
          </w:tcPr>
          <w:p w:rsidR="004F4AA1" w:rsidRDefault="00EF4052">
            <w:pPr>
              <w:spacing w:after="0" w:line="360" w:lineRule="auto"/>
              <w:jc w:val="center"/>
              <w:rPr>
                <w:rFonts w:ascii="仿宋_GB2312" w:eastAsia="仿宋_GB2312" w:hAnsi="仿宋_GB2312" w:cs="仿宋_GB2312"/>
                <w:szCs w:val="21"/>
              </w:rPr>
            </w:pPr>
            <w:r>
              <w:rPr>
                <w:rFonts w:ascii="宋体" w:eastAsia="宋体" w:hAnsi="宋体" w:cs="宋体" w:hint="eastAsia"/>
                <w:color w:val="000000"/>
                <w:sz w:val="24"/>
                <w:szCs w:val="24"/>
                <w:lang w:val="en-GB"/>
              </w:rPr>
              <w:t>-500,000</w:t>
            </w:r>
          </w:p>
        </w:tc>
        <w:tc>
          <w:tcPr>
            <w:tcW w:w="817" w:type="dxa"/>
          </w:tcPr>
          <w:p w:rsidR="004F4AA1" w:rsidRDefault="00EF4052">
            <w:pPr>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r>
    </w:tbl>
    <w:p w:rsidR="004F4AA1" w:rsidRDefault="00EF4052">
      <w:pPr>
        <w:spacing w:after="160" w:line="259" w:lineRule="auto"/>
        <w:ind w:firstLine="562"/>
        <w:rPr>
          <w:rFonts w:ascii="仿宋_GB2312" w:eastAsia="仿宋_GB2312" w:hAnsi="仿宋_GB2312" w:cs="仿宋_GB2312"/>
          <w:sz w:val="28"/>
          <w:szCs w:val="24"/>
          <w:lang w:val="en-GB"/>
        </w:rPr>
      </w:pPr>
      <w:r>
        <w:rPr>
          <w:rFonts w:ascii="仿宋_GB2312" w:eastAsia="仿宋_GB2312" w:hAnsi="仿宋_GB2312" w:cs="仿宋_GB2312" w:hint="eastAsia"/>
          <w:sz w:val="28"/>
          <w:szCs w:val="24"/>
          <w:lang w:val="en-GB"/>
        </w:rPr>
        <w:t>（注：本案例假定M1会计师事务所利用M2会计师事务所的集团审计工作而不同时执行子公司B及其下属分支机构C的审计，因此M</w:t>
      </w:r>
      <w:r>
        <w:rPr>
          <w:rFonts w:ascii="宋体" w:eastAsia="宋体" w:hAnsi="宋体" w:cs="宋体" w:hint="eastAsia"/>
          <w:sz w:val="28"/>
          <w:szCs w:val="24"/>
          <w:lang w:val="en-GB"/>
        </w:rPr>
        <w:t>1</w:t>
      </w:r>
      <w:r>
        <w:rPr>
          <w:rFonts w:ascii="仿宋_GB2312" w:eastAsia="仿宋_GB2312" w:hAnsi="仿宋_GB2312" w:cs="仿宋_GB2312" w:hint="eastAsia"/>
          <w:sz w:val="28"/>
          <w:szCs w:val="24"/>
          <w:lang w:val="en-GB"/>
        </w:rPr>
        <w:t>事务所对X集团母公司（即X公司）主账户</w:t>
      </w:r>
      <w:r>
        <w:rPr>
          <w:rFonts w:ascii="宋体" w:eastAsia="宋体" w:hAnsi="宋体" w:cs="宋体" w:hint="eastAsia"/>
          <w:sz w:val="28"/>
          <w:szCs w:val="24"/>
          <w:lang w:val="en-GB"/>
        </w:rPr>
        <w:t>001</w:t>
      </w:r>
      <w:r>
        <w:rPr>
          <w:rFonts w:ascii="仿宋_GB2312" w:eastAsia="仿宋_GB2312" w:hAnsi="仿宋_GB2312" w:cs="仿宋_GB2312" w:hint="eastAsia"/>
          <w:sz w:val="28"/>
          <w:szCs w:val="24"/>
          <w:lang w:val="en-GB"/>
        </w:rPr>
        <w:t>账户函证时，附表中未选择进一步函证分支机构C通过子公司B归集至主账户的余额信息，如果M1会计师事务所同时执行X集团各层级子公司及分支机构的审计，可以选择在上述主账户银行函证附表中一并函证各层级的归集信息）。</w:t>
      </w:r>
    </w:p>
    <w:p w:rsidR="004F4AA1" w:rsidRDefault="00EF4052">
      <w:pPr>
        <w:spacing w:after="160" w:line="259" w:lineRule="auto"/>
        <w:ind w:firstLine="562"/>
        <w:rPr>
          <w:rFonts w:ascii="仿宋_GB2312" w:eastAsia="仿宋_GB2312" w:hAnsi="仿宋_GB2312" w:cs="仿宋_GB2312"/>
          <w:b/>
          <w:sz w:val="28"/>
          <w:szCs w:val="24"/>
          <w:lang w:val="en-GB"/>
        </w:rPr>
      </w:pPr>
      <w:r>
        <w:rPr>
          <w:rFonts w:ascii="仿宋_GB2312" w:eastAsia="仿宋_GB2312" w:hAnsi="仿宋_GB2312" w:cs="仿宋_GB2312" w:hint="eastAsia"/>
          <w:b/>
          <w:sz w:val="28"/>
          <w:szCs w:val="24"/>
          <w:lang w:val="en-GB"/>
        </w:rPr>
        <w:t>（二）针对二级账户：M</w:t>
      </w:r>
      <w:r>
        <w:rPr>
          <w:rFonts w:ascii="宋体" w:eastAsia="宋体" w:hAnsi="宋体" w:cs="宋体" w:hint="eastAsia"/>
          <w:b/>
          <w:sz w:val="28"/>
          <w:szCs w:val="24"/>
          <w:lang w:val="en-GB"/>
        </w:rPr>
        <w:t>2</w:t>
      </w:r>
      <w:r>
        <w:rPr>
          <w:rFonts w:ascii="仿宋_GB2312" w:eastAsia="仿宋_GB2312" w:hAnsi="仿宋_GB2312" w:cs="仿宋_GB2312" w:hint="eastAsia"/>
          <w:b/>
          <w:sz w:val="28"/>
          <w:szCs w:val="24"/>
          <w:lang w:val="en-GB"/>
        </w:rPr>
        <w:t>会计师事务所执行B公司法定审计和担任集团审计的组成部分注册会计师，函证B公司的二级账户</w:t>
      </w:r>
      <w:r>
        <w:rPr>
          <w:rFonts w:ascii="宋体" w:eastAsia="宋体" w:hAnsi="宋体" w:cs="宋体" w:hint="eastAsia"/>
          <w:b/>
          <w:sz w:val="28"/>
          <w:szCs w:val="24"/>
          <w:lang w:val="en-GB"/>
        </w:rPr>
        <w:t>020</w:t>
      </w:r>
      <w:r>
        <w:rPr>
          <w:rFonts w:ascii="仿宋_GB2312" w:eastAsia="仿宋_GB2312" w:hAnsi="仿宋_GB2312" w:cs="仿宋_GB2312" w:hint="eastAsia"/>
          <w:b/>
          <w:sz w:val="28"/>
          <w:szCs w:val="24"/>
          <w:lang w:val="en-GB"/>
        </w:rPr>
        <w:t>账户的上下资金归集信息。</w:t>
      </w:r>
    </w:p>
    <w:p w:rsidR="004F4AA1" w:rsidRDefault="00EF4052">
      <w:pPr>
        <w:pStyle w:val="a4"/>
        <w:spacing w:line="360" w:lineRule="auto"/>
        <w:ind w:firstLineChars="200" w:firstLine="442"/>
        <w:rPr>
          <w:rFonts w:ascii="仿宋_GB2312" w:eastAsia="仿宋_GB2312" w:hAnsi="仿宋_GB2312" w:cs="仿宋_GB2312"/>
          <w:b/>
          <w:szCs w:val="21"/>
        </w:rPr>
      </w:pPr>
      <w:r>
        <w:rPr>
          <w:rFonts w:ascii="仿宋_GB2312" w:eastAsia="仿宋_GB2312" w:hAnsi="仿宋_GB2312" w:cs="仿宋_GB2312" w:hint="eastAsia"/>
          <w:b/>
          <w:szCs w:val="21"/>
        </w:rPr>
        <w:t>1．银行存款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559"/>
        <w:gridCol w:w="490"/>
        <w:gridCol w:w="464"/>
        <w:gridCol w:w="943"/>
        <w:gridCol w:w="835"/>
        <w:gridCol w:w="1191"/>
        <w:gridCol w:w="818"/>
        <w:gridCol w:w="517"/>
        <w:gridCol w:w="1031"/>
        <w:gridCol w:w="1187"/>
      </w:tblGrid>
      <w:tr w:rsidR="004F4AA1">
        <w:trPr>
          <w:cantSplit/>
          <w:jc w:val="center"/>
        </w:trPr>
        <w:tc>
          <w:tcPr>
            <w:tcW w:w="48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lastRenderedPageBreak/>
              <w:t>账户</w:t>
            </w:r>
          </w:p>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名称</w:t>
            </w:r>
          </w:p>
        </w:tc>
        <w:tc>
          <w:tcPr>
            <w:tcW w:w="559"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银行</w:t>
            </w:r>
          </w:p>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账号</w:t>
            </w:r>
          </w:p>
        </w:tc>
        <w:tc>
          <w:tcPr>
            <w:tcW w:w="490"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币种</w:t>
            </w:r>
          </w:p>
        </w:tc>
        <w:tc>
          <w:tcPr>
            <w:tcW w:w="464"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利率</w:t>
            </w:r>
          </w:p>
        </w:tc>
        <w:tc>
          <w:tcPr>
            <w:tcW w:w="943"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账户类型</w:t>
            </w:r>
          </w:p>
        </w:tc>
        <w:tc>
          <w:tcPr>
            <w:tcW w:w="835"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账户余额</w:t>
            </w:r>
          </w:p>
        </w:tc>
        <w:tc>
          <w:tcPr>
            <w:tcW w:w="1191"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是否属于资金归集（资金池或其他资金管理）账户</w:t>
            </w:r>
          </w:p>
        </w:tc>
        <w:tc>
          <w:tcPr>
            <w:tcW w:w="818"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起始日期</w:t>
            </w:r>
          </w:p>
        </w:tc>
        <w:tc>
          <w:tcPr>
            <w:tcW w:w="51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终止日期</w:t>
            </w:r>
          </w:p>
        </w:tc>
        <w:tc>
          <w:tcPr>
            <w:tcW w:w="1031"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是否存在冻结、担保或其他使用限制</w:t>
            </w:r>
          </w:p>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（如是，请注明）</w:t>
            </w:r>
          </w:p>
        </w:tc>
        <w:tc>
          <w:tcPr>
            <w:tcW w:w="1187" w:type="dxa"/>
            <w:vAlign w:val="center"/>
          </w:tcPr>
          <w:p w:rsidR="004F4AA1" w:rsidRDefault="00EF4052">
            <w:pPr>
              <w:pStyle w:val="a4"/>
              <w:spacing w:after="0" w:line="360" w:lineRule="auto"/>
              <w:jc w:val="center"/>
              <w:rPr>
                <w:rFonts w:ascii="仿宋_GB2312" w:eastAsia="仿宋_GB2312" w:hAnsi="仿宋_GB2312" w:cs="仿宋_GB2312"/>
                <w:b/>
                <w:szCs w:val="21"/>
              </w:rPr>
            </w:pPr>
            <w:r>
              <w:rPr>
                <w:rFonts w:ascii="仿宋_GB2312" w:eastAsia="仿宋_GB2312" w:hAnsi="仿宋_GB2312" w:cs="仿宋_GB2312" w:hint="eastAsia"/>
                <w:b/>
                <w:szCs w:val="21"/>
              </w:rPr>
              <w:t>备注</w:t>
            </w:r>
          </w:p>
        </w:tc>
      </w:tr>
      <w:tr w:rsidR="004F4AA1">
        <w:trPr>
          <w:cantSplit/>
          <w:jc w:val="center"/>
        </w:trPr>
        <w:tc>
          <w:tcPr>
            <w:tcW w:w="487" w:type="dxa"/>
            <w:vAlign w:val="center"/>
          </w:tcPr>
          <w:p w:rsidR="004F4AA1" w:rsidRDefault="00EF4052">
            <w:pPr>
              <w:pStyle w:val="a4"/>
              <w:spacing w:after="0" w:line="360" w:lineRule="auto"/>
              <w:jc w:val="center"/>
              <w:rPr>
                <w:rFonts w:ascii="仿宋_GB2312" w:eastAsia="仿宋_GB2312" w:hAnsi="仿宋_GB2312" w:cs="仿宋_GB2312"/>
                <w:szCs w:val="21"/>
                <w:lang w:val="en-GB"/>
              </w:rPr>
            </w:pPr>
            <w:r>
              <w:rPr>
                <w:rFonts w:ascii="仿宋_GB2312" w:eastAsia="仿宋_GB2312" w:hAnsi="仿宋_GB2312" w:cs="仿宋_GB2312" w:hint="eastAsia"/>
                <w:szCs w:val="21"/>
              </w:rPr>
              <w:t>B</w:t>
            </w:r>
            <w:r>
              <w:rPr>
                <w:rFonts w:ascii="仿宋_GB2312" w:eastAsia="仿宋_GB2312" w:hAnsi="仿宋_GB2312" w:cs="仿宋_GB2312" w:hint="eastAsia"/>
                <w:szCs w:val="21"/>
                <w:lang w:val="en-GB"/>
              </w:rPr>
              <w:t>公司</w:t>
            </w:r>
          </w:p>
        </w:tc>
        <w:tc>
          <w:tcPr>
            <w:tcW w:w="559"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eastAsia="宋体" w:hAnsi="宋体" w:cs="宋体" w:hint="eastAsia"/>
                <w:szCs w:val="21"/>
              </w:rPr>
              <w:t>020</w:t>
            </w:r>
          </w:p>
        </w:tc>
        <w:tc>
          <w:tcPr>
            <w:tcW w:w="490"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464"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活期</w:t>
            </w:r>
          </w:p>
        </w:tc>
        <w:tc>
          <w:tcPr>
            <w:tcW w:w="943"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专用存款账户（资金归集二级账户）</w:t>
            </w:r>
          </w:p>
        </w:tc>
        <w:tc>
          <w:tcPr>
            <w:tcW w:w="835"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1</w:t>
            </w:r>
            <w:r>
              <w:rPr>
                <w:rFonts w:eastAsia="宋体" w:hAnsi="宋体" w:cs="宋体" w:hint="eastAsia"/>
                <w:szCs w:val="21"/>
              </w:rPr>
              <w:t>00,000</w:t>
            </w:r>
          </w:p>
        </w:tc>
        <w:tc>
          <w:tcPr>
            <w:tcW w:w="1191"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是</w:t>
            </w:r>
          </w:p>
        </w:tc>
        <w:tc>
          <w:tcPr>
            <w:tcW w:w="818"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eastAsia="宋体" w:hAnsi="宋体" w:cs="宋体" w:hint="eastAsia"/>
                <w:szCs w:val="21"/>
              </w:rPr>
              <w:t>20</w:t>
            </w:r>
            <w:r>
              <w:rPr>
                <w:rFonts w:ascii="仿宋_GB2312" w:eastAsia="仿宋_GB2312" w:hAnsi="仿宋_GB2312" w:cs="仿宋_GB2312" w:hint="eastAsia"/>
                <w:szCs w:val="21"/>
              </w:rPr>
              <w:t>××年</w:t>
            </w:r>
            <w:r>
              <w:rPr>
                <w:rFonts w:eastAsia="宋体" w:hAnsi="宋体" w:cs="宋体" w:hint="eastAsia"/>
                <w:szCs w:val="21"/>
              </w:rPr>
              <w:t>1</w:t>
            </w:r>
            <w:r>
              <w:rPr>
                <w:rFonts w:ascii="仿宋_GB2312" w:eastAsia="仿宋_GB2312" w:hAnsi="仿宋_GB2312" w:cs="仿宋_GB2312" w:hint="eastAsia"/>
                <w:szCs w:val="21"/>
              </w:rPr>
              <w:t>月</w:t>
            </w:r>
            <w:r>
              <w:rPr>
                <w:rFonts w:eastAsia="宋体" w:hAnsi="宋体" w:cs="宋体" w:hint="eastAsia"/>
                <w:szCs w:val="21"/>
              </w:rPr>
              <w:t>1</w:t>
            </w:r>
            <w:r>
              <w:rPr>
                <w:rFonts w:ascii="仿宋_GB2312" w:eastAsia="仿宋_GB2312" w:hAnsi="仿宋_GB2312" w:cs="仿宋_GB2312" w:hint="eastAsia"/>
                <w:szCs w:val="21"/>
              </w:rPr>
              <w:t>日</w:t>
            </w:r>
          </w:p>
        </w:tc>
        <w:tc>
          <w:tcPr>
            <w:tcW w:w="517"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c>
          <w:tcPr>
            <w:tcW w:w="1031"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否</w:t>
            </w:r>
          </w:p>
        </w:tc>
        <w:tc>
          <w:tcPr>
            <w:tcW w:w="1187" w:type="dxa"/>
            <w:vAlign w:val="center"/>
          </w:tcPr>
          <w:p w:rsidR="004F4AA1" w:rsidRDefault="00EF4052">
            <w:pPr>
              <w:pStyle w:val="a4"/>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按照资金归集协议，账户余额以实际余额方式呈现</w:t>
            </w:r>
          </w:p>
        </w:tc>
      </w:tr>
    </w:tbl>
    <w:p w:rsidR="004F4AA1" w:rsidRDefault="00EF4052">
      <w:pPr>
        <w:pStyle w:val="a4"/>
        <w:spacing w:after="0" w:line="360" w:lineRule="auto"/>
        <w:ind w:firstLineChars="200" w:firstLine="440"/>
        <w:rPr>
          <w:rFonts w:ascii="仿宋_GB2312" w:eastAsia="仿宋_GB2312" w:hAnsi="仿宋_GB2312" w:cs="仿宋_GB2312"/>
          <w:szCs w:val="21"/>
        </w:rPr>
      </w:pPr>
      <w:r>
        <w:rPr>
          <w:rFonts w:ascii="仿宋_GB2312" w:eastAsia="仿宋_GB2312" w:hAnsi="仿宋_GB2312" w:cs="仿宋_GB2312" w:hint="eastAsia"/>
          <w:szCs w:val="21"/>
        </w:rPr>
        <w:t>除上述列示的银行存款（包括余额为零的存款账户）外，本公司并无在贵行的其他存款。</w:t>
      </w:r>
    </w:p>
    <w:p w:rsidR="004F4AA1" w:rsidRDefault="00EF4052">
      <w:pPr>
        <w:ind w:firstLineChars="200" w:firstLine="442"/>
        <w:rPr>
          <w:rFonts w:ascii="仿宋_GB2312" w:eastAsia="仿宋_GB2312" w:hAnsi="仿宋_GB2312" w:cs="仿宋_GB2312"/>
          <w:b/>
          <w:szCs w:val="21"/>
        </w:rPr>
      </w:pPr>
      <w:r>
        <w:rPr>
          <w:rFonts w:ascii="宋体" w:eastAsia="宋体" w:hAnsi="宋体" w:cs="宋体" w:hint="eastAsia"/>
          <w:b/>
          <w:szCs w:val="21"/>
        </w:rPr>
        <w:t>2</w:t>
      </w:r>
      <w:r>
        <w:rPr>
          <w:rFonts w:ascii="仿宋_GB2312" w:eastAsia="仿宋_GB2312" w:hAnsi="仿宋_GB2312" w:cs="仿宋_GB2312" w:hint="eastAsia"/>
          <w:b/>
          <w:szCs w:val="21"/>
        </w:rPr>
        <w:t>．附表：资金归集（资金池或其他资金管理）账户具体信息</w:t>
      </w:r>
    </w:p>
    <w:tbl>
      <w:tblPr>
        <w:tblStyle w:val="ac"/>
        <w:tblW w:w="8296" w:type="dxa"/>
        <w:tblLayout w:type="fixed"/>
        <w:tblLook w:val="04A0" w:firstRow="1" w:lastRow="0" w:firstColumn="1" w:lastColumn="0" w:noHBand="0" w:noVBand="1"/>
      </w:tblPr>
      <w:tblGrid>
        <w:gridCol w:w="561"/>
        <w:gridCol w:w="996"/>
        <w:gridCol w:w="1025"/>
        <w:gridCol w:w="1143"/>
        <w:gridCol w:w="801"/>
        <w:gridCol w:w="842"/>
        <w:gridCol w:w="1829"/>
        <w:gridCol w:w="1099"/>
      </w:tblGrid>
      <w:tr w:rsidR="004F4AA1">
        <w:tc>
          <w:tcPr>
            <w:tcW w:w="561"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序号</w:t>
            </w:r>
          </w:p>
        </w:tc>
        <w:tc>
          <w:tcPr>
            <w:tcW w:w="996"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资金提供机构名称</w:t>
            </w:r>
            <w:r>
              <w:rPr>
                <w:rFonts w:ascii="仿宋_GB2312" w:eastAsia="仿宋_GB2312" w:hAnsi="仿宋_GB2312" w:cs="仿宋_GB2312" w:hint="eastAsia"/>
                <w:b/>
                <w:color w:val="000000"/>
                <w:szCs w:val="21"/>
                <w:lang w:val="en-GB"/>
              </w:rPr>
              <w:br/>
              <w:t>(即拨入资金的具体机构)</w:t>
            </w:r>
          </w:p>
        </w:tc>
        <w:tc>
          <w:tcPr>
            <w:tcW w:w="1025"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资金提供机构账号</w:t>
            </w:r>
          </w:p>
        </w:tc>
        <w:tc>
          <w:tcPr>
            <w:tcW w:w="1143"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资金使用机构名称</w:t>
            </w:r>
            <w:r>
              <w:rPr>
                <w:rFonts w:ascii="仿宋_GB2312" w:eastAsia="仿宋_GB2312" w:hAnsi="仿宋_GB2312" w:cs="仿宋_GB2312" w:hint="eastAsia"/>
                <w:b/>
                <w:color w:val="000000"/>
                <w:szCs w:val="21"/>
                <w:lang w:val="en-GB"/>
              </w:rPr>
              <w:br/>
              <w:t>(即向该具体机构拨出资金)</w:t>
            </w:r>
          </w:p>
        </w:tc>
        <w:tc>
          <w:tcPr>
            <w:tcW w:w="801"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资金使用机构账号</w:t>
            </w:r>
          </w:p>
        </w:tc>
        <w:tc>
          <w:tcPr>
            <w:tcW w:w="842"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币种</w:t>
            </w:r>
          </w:p>
        </w:tc>
        <w:tc>
          <w:tcPr>
            <w:tcW w:w="1829"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截至函证基准日拨入或拨出资金余额</w:t>
            </w:r>
            <w:r>
              <w:rPr>
                <w:rFonts w:ascii="仿宋_GB2312" w:eastAsia="仿宋_GB2312" w:hAnsi="仿宋_GB2312" w:cs="仿宋_GB2312" w:hint="eastAsia"/>
                <w:b/>
                <w:color w:val="000000"/>
                <w:szCs w:val="21"/>
                <w:lang w:val="en-GB"/>
              </w:rPr>
              <w:br/>
              <w:t>(拨出填列正数，拨入填列负数)</w:t>
            </w:r>
          </w:p>
        </w:tc>
        <w:tc>
          <w:tcPr>
            <w:tcW w:w="1099" w:type="dxa"/>
            <w:vAlign w:val="center"/>
          </w:tcPr>
          <w:p w:rsidR="004F4AA1" w:rsidRDefault="00EF4052">
            <w:pPr>
              <w:spacing w:after="0" w:line="360" w:lineRule="auto"/>
              <w:jc w:val="center"/>
              <w:rPr>
                <w:rFonts w:ascii="仿宋_GB2312" w:eastAsia="仿宋_GB2312" w:hAnsi="仿宋_GB2312" w:cs="仿宋_GB2312"/>
                <w:b/>
                <w:color w:val="000000"/>
                <w:szCs w:val="21"/>
                <w:lang w:val="en-GB"/>
              </w:rPr>
            </w:pPr>
            <w:r>
              <w:rPr>
                <w:rFonts w:ascii="仿宋_GB2312" w:eastAsia="仿宋_GB2312" w:hAnsi="仿宋_GB2312" w:cs="仿宋_GB2312" w:hint="eastAsia"/>
                <w:b/>
                <w:color w:val="000000"/>
                <w:szCs w:val="21"/>
                <w:lang w:val="en-GB"/>
              </w:rPr>
              <w:t>备注</w:t>
            </w:r>
          </w:p>
        </w:tc>
      </w:tr>
      <w:tr w:rsidR="004F4AA1">
        <w:tc>
          <w:tcPr>
            <w:tcW w:w="561" w:type="dxa"/>
          </w:tcPr>
          <w:p w:rsidR="004F4AA1" w:rsidRDefault="00EF4052">
            <w:pPr>
              <w:spacing w:after="0" w:line="360" w:lineRule="auto"/>
              <w:rPr>
                <w:rFonts w:ascii="宋体" w:eastAsia="宋体" w:hAnsi="宋体" w:cs="宋体"/>
                <w:color w:val="000000"/>
                <w:sz w:val="24"/>
                <w:szCs w:val="24"/>
                <w:lang w:val="en-GB"/>
              </w:rPr>
            </w:pPr>
            <w:r>
              <w:rPr>
                <w:rFonts w:ascii="宋体" w:eastAsia="宋体" w:hAnsi="宋体" w:cs="宋体" w:hint="eastAsia"/>
                <w:color w:val="000000"/>
                <w:sz w:val="24"/>
                <w:szCs w:val="24"/>
                <w:lang w:val="en-GB"/>
              </w:rPr>
              <w:t>1</w:t>
            </w:r>
          </w:p>
        </w:tc>
        <w:tc>
          <w:tcPr>
            <w:tcW w:w="996"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子公司B</w:t>
            </w:r>
          </w:p>
        </w:tc>
        <w:tc>
          <w:tcPr>
            <w:tcW w:w="1025" w:type="dxa"/>
          </w:tcPr>
          <w:p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020</w:t>
            </w:r>
          </w:p>
        </w:tc>
        <w:tc>
          <w:tcPr>
            <w:tcW w:w="1143"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noProof/>
                <w:szCs w:val="21"/>
              </w:rPr>
              <w:drawing>
                <wp:inline distT="0" distB="0" distL="0" distR="0">
                  <wp:extent cx="15875" cy="15875"/>
                  <wp:effectExtent l="0" t="0" r="0" b="0"/>
                  <wp:docPr id="2" name="图片 4"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id:_Foxmail.1@752c7e8a-18e1-276e-cd8c-a99c1141dafc"/>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15875" cy="15875"/>
                          </a:xfrm>
                          <a:prstGeom prst="rect">
                            <a:avLst/>
                          </a:prstGeom>
                          <a:noFill/>
                          <a:ln>
                            <a:noFill/>
                          </a:ln>
                        </pic:spPr>
                      </pic:pic>
                    </a:graphicData>
                  </a:graphic>
                </wp:inline>
              </w:drawing>
            </w:r>
            <w:r>
              <w:rPr>
                <w:rFonts w:ascii="仿宋_GB2312" w:eastAsia="仿宋_GB2312" w:hAnsi="仿宋_GB2312" w:cs="仿宋_GB2312" w:hint="eastAsia"/>
                <w:szCs w:val="21"/>
              </w:rPr>
              <w:t>母公司X</w:t>
            </w:r>
          </w:p>
        </w:tc>
        <w:tc>
          <w:tcPr>
            <w:tcW w:w="801" w:type="dxa"/>
          </w:tcPr>
          <w:p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001</w:t>
            </w:r>
          </w:p>
        </w:tc>
        <w:tc>
          <w:tcPr>
            <w:tcW w:w="842"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1829" w:type="dxa"/>
          </w:tcPr>
          <w:p w:rsidR="004F4AA1" w:rsidRDefault="00EF4052">
            <w:pPr>
              <w:spacing w:after="0" w:line="360" w:lineRule="auto"/>
              <w:jc w:val="center"/>
              <w:rPr>
                <w:rFonts w:ascii="仿宋_GB2312" w:eastAsia="仿宋_GB2312" w:hAnsi="仿宋_GB2312" w:cs="仿宋_GB2312"/>
                <w:szCs w:val="21"/>
              </w:rPr>
            </w:pPr>
            <w:r>
              <w:rPr>
                <w:rFonts w:ascii="宋体" w:eastAsia="宋体" w:hAnsi="宋体" w:cs="宋体" w:hint="eastAsia"/>
                <w:color w:val="000000"/>
                <w:sz w:val="24"/>
                <w:szCs w:val="24"/>
                <w:lang w:val="en-GB"/>
              </w:rPr>
              <w:t>500,000</w:t>
            </w:r>
          </w:p>
        </w:tc>
        <w:tc>
          <w:tcPr>
            <w:tcW w:w="1099" w:type="dxa"/>
          </w:tcPr>
          <w:p w:rsidR="004F4AA1" w:rsidRDefault="00EF4052">
            <w:pPr>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r>
      <w:tr w:rsidR="004F4AA1">
        <w:tc>
          <w:tcPr>
            <w:tcW w:w="561" w:type="dxa"/>
          </w:tcPr>
          <w:p w:rsidR="004F4AA1" w:rsidRDefault="00EF4052">
            <w:pPr>
              <w:spacing w:after="0" w:line="360" w:lineRule="auto"/>
              <w:rPr>
                <w:rFonts w:ascii="宋体" w:eastAsia="宋体" w:hAnsi="宋体" w:cs="宋体"/>
                <w:color w:val="000000"/>
                <w:sz w:val="24"/>
                <w:szCs w:val="24"/>
                <w:lang w:val="en-GB"/>
              </w:rPr>
            </w:pPr>
            <w:r>
              <w:rPr>
                <w:rFonts w:ascii="宋体" w:eastAsia="宋体" w:hAnsi="宋体" w:cs="宋体" w:hint="eastAsia"/>
                <w:color w:val="000000"/>
                <w:sz w:val="24"/>
                <w:szCs w:val="24"/>
                <w:lang w:val="en-GB"/>
              </w:rPr>
              <w:t>2</w:t>
            </w:r>
          </w:p>
        </w:tc>
        <w:tc>
          <w:tcPr>
            <w:tcW w:w="996"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子公司B</w:t>
            </w:r>
          </w:p>
        </w:tc>
        <w:tc>
          <w:tcPr>
            <w:tcW w:w="1025" w:type="dxa"/>
          </w:tcPr>
          <w:p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020</w:t>
            </w:r>
          </w:p>
        </w:tc>
        <w:tc>
          <w:tcPr>
            <w:tcW w:w="1143"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分支机构C</w:t>
            </w:r>
          </w:p>
        </w:tc>
        <w:tc>
          <w:tcPr>
            <w:tcW w:w="801" w:type="dxa"/>
          </w:tcPr>
          <w:p w:rsidR="004F4AA1" w:rsidRDefault="00EF4052">
            <w:pPr>
              <w:spacing w:after="0" w:line="360" w:lineRule="auto"/>
              <w:rPr>
                <w:rFonts w:ascii="仿宋_GB2312" w:eastAsia="仿宋_GB2312" w:hAnsi="仿宋_GB2312" w:cs="仿宋_GB2312"/>
                <w:szCs w:val="21"/>
              </w:rPr>
            </w:pPr>
            <w:r>
              <w:rPr>
                <w:rFonts w:ascii="宋体" w:eastAsia="宋体" w:hAnsi="宋体" w:cs="宋体" w:hint="eastAsia"/>
                <w:color w:val="000000"/>
                <w:sz w:val="24"/>
                <w:szCs w:val="24"/>
                <w:lang w:val="en-GB"/>
              </w:rPr>
              <w:t>300</w:t>
            </w:r>
          </w:p>
        </w:tc>
        <w:tc>
          <w:tcPr>
            <w:tcW w:w="842" w:type="dxa"/>
          </w:tcPr>
          <w:p w:rsidR="004F4AA1" w:rsidRDefault="00EF4052">
            <w:pPr>
              <w:spacing w:after="0" w:line="360" w:lineRule="auto"/>
              <w:rPr>
                <w:rFonts w:ascii="仿宋_GB2312" w:eastAsia="仿宋_GB2312" w:hAnsi="仿宋_GB2312" w:cs="仿宋_GB2312"/>
                <w:szCs w:val="21"/>
              </w:rPr>
            </w:pPr>
            <w:r>
              <w:rPr>
                <w:rFonts w:ascii="仿宋_GB2312" w:eastAsia="仿宋_GB2312" w:hAnsi="仿宋_GB2312" w:cs="仿宋_GB2312" w:hint="eastAsia"/>
                <w:szCs w:val="21"/>
              </w:rPr>
              <w:t>人民币</w:t>
            </w:r>
          </w:p>
        </w:tc>
        <w:tc>
          <w:tcPr>
            <w:tcW w:w="1829" w:type="dxa"/>
          </w:tcPr>
          <w:p w:rsidR="004F4AA1" w:rsidRDefault="00EF4052">
            <w:pPr>
              <w:spacing w:after="0" w:line="360" w:lineRule="auto"/>
              <w:jc w:val="center"/>
              <w:rPr>
                <w:rFonts w:ascii="仿宋_GB2312" w:eastAsia="仿宋_GB2312" w:hAnsi="仿宋_GB2312" w:cs="仿宋_GB2312"/>
                <w:szCs w:val="21"/>
              </w:rPr>
            </w:pPr>
            <w:r>
              <w:rPr>
                <w:rFonts w:ascii="宋体" w:eastAsia="宋体" w:hAnsi="宋体" w:cs="宋体" w:hint="eastAsia"/>
                <w:color w:val="000000"/>
                <w:sz w:val="24"/>
                <w:szCs w:val="24"/>
                <w:lang w:val="en-GB"/>
              </w:rPr>
              <w:t>200,000</w:t>
            </w:r>
          </w:p>
        </w:tc>
        <w:tc>
          <w:tcPr>
            <w:tcW w:w="1099" w:type="dxa"/>
          </w:tcPr>
          <w:p w:rsidR="004F4AA1" w:rsidRDefault="00EF4052">
            <w:pPr>
              <w:spacing w:after="0" w:line="360" w:lineRule="auto"/>
              <w:jc w:val="center"/>
              <w:rPr>
                <w:rFonts w:ascii="仿宋_GB2312" w:eastAsia="仿宋_GB2312" w:hAnsi="仿宋_GB2312" w:cs="仿宋_GB2312"/>
                <w:szCs w:val="21"/>
              </w:rPr>
            </w:pPr>
            <w:r>
              <w:rPr>
                <w:rFonts w:ascii="仿宋_GB2312" w:eastAsia="仿宋_GB2312" w:hAnsi="仿宋_GB2312" w:cs="仿宋_GB2312" w:hint="eastAsia"/>
                <w:szCs w:val="21"/>
              </w:rPr>
              <w:t>无</w:t>
            </w:r>
          </w:p>
        </w:tc>
      </w:tr>
    </w:tbl>
    <w:p w:rsidR="004F4AA1" w:rsidRDefault="004F4AA1">
      <w:pPr>
        <w:rPr>
          <w:rFonts w:ascii="仿宋_GB2312" w:eastAsia="仿宋_GB2312" w:hAnsi="仿宋_GB2312" w:cs="仿宋_GB2312"/>
          <w:b/>
          <w:bCs/>
          <w:szCs w:val="24"/>
          <w:lang w:val="en-GB"/>
        </w:rPr>
      </w:pPr>
    </w:p>
    <w:p w:rsidR="004F4AA1" w:rsidRDefault="004F4AA1">
      <w:pPr>
        <w:rPr>
          <w:rFonts w:ascii="仿宋_GB2312" w:eastAsia="仿宋_GB2312" w:hAnsi="仿宋_GB2312" w:cs="仿宋_GB2312"/>
          <w:b/>
          <w:bCs/>
          <w:szCs w:val="24"/>
          <w:lang w:val="en-GB"/>
        </w:rPr>
      </w:pPr>
    </w:p>
    <w:p w:rsidR="004F4AA1" w:rsidRDefault="00EF4052">
      <w:pPr>
        <w:ind w:firstLineChars="200" w:firstLine="562"/>
        <w:rPr>
          <w:rFonts w:ascii="仿宋_GB2312" w:eastAsia="仿宋_GB2312" w:hAnsi="仿宋_GB2312" w:cs="仿宋_GB2312"/>
          <w:bCs/>
          <w:szCs w:val="24"/>
          <w:lang w:val="en-GB"/>
        </w:rPr>
      </w:pPr>
      <w:r>
        <w:rPr>
          <w:rFonts w:ascii="仿宋_GB2312" w:eastAsia="仿宋_GB2312" w:hAnsi="仿宋_GB2312" w:cs="仿宋_GB2312" w:hint="eastAsia"/>
          <w:b/>
          <w:sz w:val="28"/>
          <w:szCs w:val="24"/>
          <w:lang w:val="en-GB"/>
        </w:rPr>
        <w:lastRenderedPageBreak/>
        <w:t>（三）针对三级账户。</w:t>
      </w:r>
    </w:p>
    <w:p w:rsidR="004F4AA1" w:rsidRDefault="00EF4052">
      <w:pPr>
        <w:ind w:firstLineChars="200" w:firstLine="560"/>
        <w:rPr>
          <w:rFonts w:ascii="仿宋_GB2312" w:eastAsia="仿宋_GB2312" w:hAnsi="仿宋_GB2312" w:cs="仿宋_GB2312"/>
        </w:rPr>
      </w:pPr>
      <w:r>
        <w:rPr>
          <w:rFonts w:ascii="仿宋_GB2312" w:eastAsia="仿宋_GB2312" w:hAnsi="仿宋_GB2312" w:cs="仿宋_GB2312" w:hint="eastAsia"/>
          <w:sz w:val="28"/>
          <w:szCs w:val="24"/>
          <w:lang w:val="en-GB"/>
        </w:rPr>
        <w:t>M</w:t>
      </w:r>
      <w:r>
        <w:rPr>
          <w:rFonts w:ascii="宋体" w:eastAsia="宋体" w:hAnsi="宋体" w:cs="宋体" w:hint="eastAsia"/>
          <w:sz w:val="28"/>
          <w:szCs w:val="24"/>
          <w:lang w:val="en-GB"/>
        </w:rPr>
        <w:t>2</w:t>
      </w:r>
      <w:r>
        <w:rPr>
          <w:rFonts w:ascii="仿宋_GB2312" w:eastAsia="仿宋_GB2312" w:hAnsi="仿宋_GB2312" w:cs="仿宋_GB2312" w:hint="eastAsia"/>
          <w:sz w:val="28"/>
          <w:szCs w:val="24"/>
          <w:lang w:val="en-GB"/>
        </w:rPr>
        <w:t>会计师事务所考虑到C分支机构的银行账户</w:t>
      </w:r>
      <w:r>
        <w:rPr>
          <w:rFonts w:ascii="宋体" w:eastAsia="宋体" w:hAnsi="宋体" w:cs="宋体" w:hint="eastAsia"/>
          <w:sz w:val="28"/>
          <w:szCs w:val="24"/>
          <w:lang w:val="en-GB"/>
        </w:rPr>
        <w:t>300</w:t>
      </w:r>
      <w:r>
        <w:rPr>
          <w:rFonts w:ascii="仿宋_GB2312" w:eastAsia="仿宋_GB2312" w:hAnsi="仿宋_GB2312" w:cs="仿宋_GB2312" w:hint="eastAsia"/>
          <w:sz w:val="28"/>
          <w:szCs w:val="24"/>
          <w:lang w:val="en-GB"/>
        </w:rPr>
        <w:t>实行零余额管理，自身为日常零星费用支出账户，日常费用支出由子公司B按照批准的预算进行下拨，余额归还子公司B，其本身不涉及业务收入相关的资金流入，按照B公司管理要求也无法进行函证程序针对的其他相关业务（例如借款、担保等），其与二级账户之间的资金归集往来已经在B公司二级账户进行了函证，因此评估其符合《中国注册会计师审计准则第</w:t>
      </w:r>
      <w:r>
        <w:rPr>
          <w:rFonts w:ascii="宋体" w:eastAsia="宋体" w:hAnsi="宋体" w:cs="宋体" w:hint="eastAsia"/>
          <w:sz w:val="28"/>
          <w:szCs w:val="24"/>
          <w:lang w:val="en-GB"/>
        </w:rPr>
        <w:t>1312</w:t>
      </w:r>
      <w:r>
        <w:rPr>
          <w:rFonts w:ascii="仿宋_GB2312" w:eastAsia="仿宋_GB2312" w:hAnsi="仿宋_GB2312" w:cs="仿宋_GB2312" w:hint="eastAsia"/>
          <w:sz w:val="28"/>
          <w:szCs w:val="24"/>
          <w:lang w:val="en-GB"/>
        </w:rPr>
        <w:t>号——函证》第十二条“对财务报表不重要且与之相关的重大错报风险很低”的条件，选择不再对C分支机构的</w:t>
      </w:r>
      <w:r>
        <w:rPr>
          <w:rFonts w:ascii="宋体" w:eastAsia="宋体" w:hAnsi="宋体" w:cs="宋体" w:hint="eastAsia"/>
          <w:sz w:val="28"/>
          <w:szCs w:val="24"/>
          <w:lang w:val="en-GB"/>
        </w:rPr>
        <w:t>300</w:t>
      </w:r>
      <w:r>
        <w:rPr>
          <w:rFonts w:ascii="仿宋_GB2312" w:eastAsia="仿宋_GB2312" w:hAnsi="仿宋_GB2312" w:cs="仿宋_GB2312" w:hint="eastAsia"/>
          <w:sz w:val="28"/>
          <w:szCs w:val="24"/>
          <w:lang w:val="en-GB"/>
        </w:rPr>
        <w:t>账户进行函证。</w:t>
      </w:r>
    </w:p>
    <w:sectPr w:rsidR="004F4AA1">
      <w:footerReference w:type="default" r:id="rId10"/>
      <w:footnotePr>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5D8" w:rsidRDefault="001745D8">
      <w:pPr>
        <w:spacing w:after="0" w:line="240" w:lineRule="auto"/>
      </w:pPr>
      <w:r>
        <w:separator/>
      </w:r>
    </w:p>
  </w:endnote>
  <w:endnote w:type="continuationSeparator" w:id="0">
    <w:p w:rsidR="001745D8" w:rsidRDefault="0017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267565"/>
    </w:sdtPr>
    <w:sdtEndPr/>
    <w:sdtContent>
      <w:p w:rsidR="004F4AA1" w:rsidRDefault="00EF4052">
        <w:pPr>
          <w:pStyle w:val="a6"/>
          <w:jc w:val="center"/>
        </w:pPr>
        <w:r>
          <w:fldChar w:fldCharType="begin"/>
        </w:r>
        <w:r>
          <w:instrText>PAGE   \* MERGEFORMAT</w:instrText>
        </w:r>
        <w:r>
          <w:fldChar w:fldCharType="separate"/>
        </w:r>
        <w:r w:rsidR="003511E2" w:rsidRPr="003511E2">
          <w:rPr>
            <w:noProof/>
            <w:lang w:val="zh-CN"/>
          </w:rPr>
          <w:t>37</w:t>
        </w:r>
        <w:r>
          <w:fldChar w:fldCharType="end"/>
        </w:r>
      </w:p>
    </w:sdtContent>
  </w:sdt>
  <w:p w:rsidR="004F4AA1" w:rsidRDefault="004F4A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5D8" w:rsidRDefault="001745D8">
      <w:pPr>
        <w:spacing w:after="0" w:line="240" w:lineRule="auto"/>
      </w:pPr>
      <w:r>
        <w:separator/>
      </w:r>
    </w:p>
  </w:footnote>
  <w:footnote w:type="continuationSeparator" w:id="0">
    <w:p w:rsidR="001745D8" w:rsidRDefault="001745D8">
      <w:pPr>
        <w:spacing w:after="0" w:line="240" w:lineRule="auto"/>
      </w:pPr>
      <w:r>
        <w:continuationSeparator/>
      </w:r>
    </w:p>
  </w:footnote>
  <w:footnote w:id="1">
    <w:p w:rsidR="004F4AA1" w:rsidRDefault="00EF4052">
      <w:pPr>
        <w:pStyle w:val="a9"/>
        <w:spacing w:after="0"/>
        <w:rPr>
          <w:rFonts w:ascii="宋体" w:hAnsi="宋体"/>
        </w:rPr>
      </w:pPr>
      <w:r>
        <w:rPr>
          <w:rStyle w:val="af0"/>
          <w:rFonts w:ascii="宋体" w:hAnsi="宋体"/>
        </w:rPr>
        <w:footnoteRef/>
      </w:r>
      <w:r>
        <w:rPr>
          <w:rFonts w:ascii="宋体" w:hAnsi="宋体" w:hint="eastAsia"/>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2">
    <w:p w:rsidR="004F4AA1" w:rsidRDefault="00EF4052">
      <w:pPr>
        <w:pStyle w:val="a9"/>
        <w:spacing w:after="0"/>
        <w:rPr>
          <w:rFonts w:ascii="宋体" w:hAnsi="宋体"/>
          <w:lang w:val="en-GB"/>
        </w:rPr>
      </w:pPr>
      <w:r>
        <w:rPr>
          <w:rStyle w:val="af0"/>
          <w:rFonts w:ascii="宋体" w:hAnsi="宋体"/>
        </w:rPr>
        <w:footnoteRef/>
      </w:r>
      <w:r>
        <w:rPr>
          <w:rFonts w:ascii="宋体" w:hAnsi="宋体"/>
        </w:rPr>
        <w:t xml:space="preserve"> 会计师</w:t>
      </w:r>
      <w:r>
        <w:rPr>
          <w:rFonts w:ascii="宋体" w:hAnsi="宋体" w:hint="eastAsia"/>
        </w:rPr>
        <w:t>事务所应按照相关银行公示的函证具体要求提供相关人员的证明文件等。</w:t>
      </w:r>
    </w:p>
  </w:footnote>
  <w:footnote w:id="3">
    <w:p w:rsidR="004F4AA1" w:rsidRDefault="00EF4052">
      <w:pPr>
        <w:pStyle w:val="a9"/>
        <w:spacing w:after="0"/>
        <w:rPr>
          <w:rFonts w:eastAsiaTheme="minorEastAsia"/>
          <w:lang w:val="en-GB"/>
        </w:rPr>
      </w:pPr>
      <w:r>
        <w:rPr>
          <w:rStyle w:val="af0"/>
          <w:rFonts w:ascii="宋体" w:hAnsi="宋体"/>
        </w:rPr>
        <w:footnoteRef/>
      </w:r>
      <w:r>
        <w:rPr>
          <w:rFonts w:ascii="宋体" w:hAnsi="宋体" w:hint="eastAsia"/>
        </w:rPr>
        <w:t>“回函地址、联系人、电话、传真、邮编、电子邮箱”等要素应完整、准确填写。</w:t>
      </w:r>
    </w:p>
  </w:footnote>
  <w:footnote w:id="4">
    <w:p w:rsidR="004F4AA1" w:rsidRDefault="00EF4052">
      <w:pPr>
        <w:pStyle w:val="a9"/>
      </w:pPr>
      <w:r>
        <w:rPr>
          <w:rStyle w:val="af0"/>
          <w:rFonts w:ascii="宋体" w:hAnsi="宋体"/>
        </w:rPr>
        <w:footnoteRef/>
      </w:r>
      <w:r>
        <w:rPr>
          <w:rFonts w:ascii="宋体" w:hAnsi="宋体"/>
        </w:rPr>
        <w:t xml:space="preserve"> </w:t>
      </w:r>
      <w:r>
        <w:rPr>
          <w:rFonts w:hint="eastAsia"/>
        </w:rPr>
        <w:t>本询证函所列示的</w:t>
      </w:r>
      <w:r>
        <w:rPr>
          <w:rFonts w:ascii="宋体" w:hAnsi="宋体" w:cs="宋体" w:hint="eastAsia"/>
        </w:rPr>
        <w:t>1-14</w:t>
      </w:r>
      <w:r>
        <w:rPr>
          <w:rFonts w:hint="eastAsia"/>
        </w:rPr>
        <w:t>项及附表（如适用）信息，以银行印章所代表的总分支机构主体范围进行回函。</w:t>
      </w:r>
    </w:p>
  </w:footnote>
  <w:footnote w:id="5">
    <w:p w:rsidR="004F4AA1" w:rsidRDefault="00EF4052">
      <w:pPr>
        <w:pStyle w:val="a9"/>
        <w:spacing w:after="0"/>
        <w:rPr>
          <w:rStyle w:val="af0"/>
          <w:rFonts w:ascii="宋体" w:hAnsi="宋体"/>
          <w:vertAlign w:val="baseline"/>
        </w:rPr>
      </w:pPr>
      <w:r>
        <w:rPr>
          <w:rStyle w:val="af0"/>
          <w:rFonts w:ascii="宋体" w:hAnsi="宋体"/>
        </w:rPr>
        <w:footnoteRef/>
      </w:r>
      <w:r>
        <w:rPr>
          <w:rStyle w:val="af0"/>
          <w:rFonts w:ascii="宋体" w:hAnsi="宋体" w:hint="eastAsia"/>
          <w:vertAlign w:val="baseline"/>
        </w:rPr>
        <w:t>本询证函所列示的1-14项及附表（如适用）信息，以银行印章所代表的总分支机构主体范围进行回函。</w:t>
      </w:r>
    </w:p>
  </w:footnote>
  <w:footnote w:id="6">
    <w:p w:rsidR="004F4AA1" w:rsidRDefault="00EF4052">
      <w:pPr>
        <w:pStyle w:val="a9"/>
        <w:spacing w:after="0"/>
        <w:rPr>
          <w:rStyle w:val="af0"/>
          <w:rFonts w:ascii="宋体" w:hAnsi="宋体"/>
          <w:vertAlign w:val="baseline"/>
        </w:rPr>
      </w:pPr>
      <w:r>
        <w:rPr>
          <w:rStyle w:val="af0"/>
          <w:rFonts w:ascii="宋体" w:hAnsi="宋体"/>
        </w:rPr>
        <w:footnoteRef/>
      </w:r>
      <w:r>
        <w:rPr>
          <w:rStyle w:val="af0"/>
          <w:rFonts w:ascii="宋体" w:hAnsi="宋体" w:hint="eastAsia"/>
        </w:rPr>
        <w:t xml:space="preserve"> </w:t>
      </w:r>
      <w:r>
        <w:rPr>
          <w:rStyle w:val="af0"/>
          <w:rFonts w:ascii="宋体" w:hAnsi="宋体"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0"/>
          <w:rFonts w:ascii="宋体" w:hAnsi="宋体" w:hint="eastAsia"/>
          <w:vertAlign w:val="baseline"/>
        </w:rPr>
        <w:t>中使用符合《电子签名法》相关规定的数据电文和电子签名具有法律效力。</w:t>
      </w:r>
    </w:p>
  </w:footnote>
  <w:footnote w:id="7">
    <w:p w:rsidR="004F4AA1" w:rsidRDefault="00EF4052">
      <w:pPr>
        <w:pStyle w:val="a9"/>
        <w:spacing w:after="0"/>
        <w:rPr>
          <w:rStyle w:val="af0"/>
          <w:rFonts w:ascii="宋体" w:hAnsi="宋体"/>
          <w:vertAlign w:val="baseline"/>
        </w:rPr>
      </w:pPr>
      <w:r>
        <w:rPr>
          <w:rStyle w:val="af0"/>
          <w:rFonts w:ascii="宋体" w:hAnsi="宋体"/>
        </w:rPr>
        <w:footnoteRef/>
      </w:r>
      <w:r>
        <w:rPr>
          <w:rStyle w:val="af0"/>
          <w:rFonts w:ascii="宋体" w:hAnsi="宋体"/>
          <w:vertAlign w:val="baseline"/>
        </w:rPr>
        <w:t xml:space="preserve"> 会计师</w:t>
      </w:r>
      <w:r>
        <w:rPr>
          <w:rStyle w:val="af0"/>
          <w:rFonts w:ascii="宋体" w:hAnsi="宋体" w:hint="eastAsia"/>
          <w:vertAlign w:val="baseline"/>
        </w:rPr>
        <w:t>事务所应按照相关银行公示的函证具体要求提供相关人员的证明文件等。</w:t>
      </w:r>
    </w:p>
  </w:footnote>
  <w:footnote w:id="8">
    <w:p w:rsidR="004F4AA1" w:rsidRDefault="00EF4052">
      <w:pPr>
        <w:pStyle w:val="a9"/>
        <w:spacing w:after="0"/>
        <w:rPr>
          <w:rStyle w:val="af0"/>
          <w:rFonts w:ascii="宋体" w:hAnsi="宋体"/>
          <w:vertAlign w:val="baseline"/>
        </w:rPr>
      </w:pPr>
      <w:r>
        <w:rPr>
          <w:rStyle w:val="af0"/>
          <w:rFonts w:ascii="宋体" w:hAnsi="宋体"/>
        </w:rPr>
        <w:footnoteRef/>
      </w:r>
      <w:r>
        <w:rPr>
          <w:rFonts w:ascii="宋体" w:hAnsi="宋体" w:hint="eastAsia"/>
        </w:rPr>
        <w:t>“</w:t>
      </w:r>
      <w:r>
        <w:rPr>
          <w:rStyle w:val="af0"/>
          <w:rFonts w:ascii="宋体" w:hAnsi="宋体" w:hint="eastAsia"/>
          <w:vertAlign w:val="baseline"/>
        </w:rPr>
        <w:t>回函地址、联系人、电话、传真、邮编、电子邮箱</w:t>
      </w:r>
      <w:r>
        <w:rPr>
          <w:rFonts w:ascii="宋体" w:hAnsi="宋体" w:hint="eastAsia"/>
        </w:rPr>
        <w:t>”</w:t>
      </w:r>
      <w:r>
        <w:rPr>
          <w:rStyle w:val="af0"/>
          <w:rFonts w:ascii="宋体" w:hAnsi="宋体" w:hint="eastAsia"/>
          <w:vertAlign w:val="baseline"/>
        </w:rPr>
        <w:t>等要素应完整、准确填写。</w:t>
      </w:r>
    </w:p>
  </w:footnote>
  <w:footnote w:id="9">
    <w:p w:rsidR="004F4AA1" w:rsidRDefault="00EF4052">
      <w:pPr>
        <w:pStyle w:val="a9"/>
        <w:spacing w:after="0"/>
        <w:rPr>
          <w:rStyle w:val="af0"/>
          <w:rFonts w:ascii="宋体" w:hAnsi="宋体"/>
          <w:vertAlign w:val="baseline"/>
        </w:rPr>
      </w:pPr>
      <w:r>
        <w:rPr>
          <w:rStyle w:val="af0"/>
          <w:rFonts w:ascii="宋体" w:hAnsi="宋体"/>
        </w:rPr>
        <w:footnoteRef/>
      </w:r>
      <w:r>
        <w:rPr>
          <w:rStyle w:val="af0"/>
          <w:rFonts w:ascii="宋体" w:hAnsi="宋体" w:hint="eastAsia"/>
          <w:vertAlign w:val="baseline"/>
        </w:rPr>
        <w:t>本询证函所列示的信息，以银行印章所代表的总分支机构主体范围进行回函。</w:t>
      </w:r>
    </w:p>
  </w:footnote>
  <w:footnote w:id="10">
    <w:p w:rsidR="004F4AA1" w:rsidRDefault="00EF4052">
      <w:pPr>
        <w:pStyle w:val="a9"/>
        <w:spacing w:after="0"/>
        <w:rPr>
          <w:rStyle w:val="af0"/>
          <w:vertAlign w:val="baseline"/>
        </w:rPr>
      </w:pPr>
      <w:r>
        <w:rPr>
          <w:rStyle w:val="af0"/>
          <w:rFonts w:ascii="宋体" w:hAnsi="宋体"/>
        </w:rPr>
        <w:footnoteRef/>
      </w:r>
      <w:r>
        <w:rPr>
          <w:rStyle w:val="af0"/>
          <w:rFonts w:hint="eastAsia"/>
        </w:rPr>
        <w:t xml:space="preserve"> </w:t>
      </w:r>
      <w:r>
        <w:rPr>
          <w:rStyle w:val="af0"/>
          <w:rFonts w:hint="eastAsia"/>
          <w:vertAlign w:val="baseline"/>
        </w:rPr>
        <w:t>根据《中华人民共和国电子签名法》（以下简称《电子签名法》），可靠的电子询证函属于《电子签名法》规定的一种数据电文。可靠的电子签名与手写签名或者盖章具有同等法律效力。函证各相关方在数字函证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0"/>
          <w:rFonts w:hint="eastAsia"/>
          <w:vertAlign w:val="baseline"/>
        </w:rPr>
        <w:t>中使用符合《电子签名法》相关规定的数据电文和电子签名具有法律效力。</w:t>
      </w:r>
    </w:p>
  </w:footnote>
  <w:footnote w:id="11">
    <w:p w:rsidR="004F4AA1" w:rsidRDefault="00EF4052">
      <w:pPr>
        <w:pStyle w:val="a9"/>
        <w:spacing w:after="0"/>
        <w:rPr>
          <w:rStyle w:val="af0"/>
          <w:vertAlign w:val="baseline"/>
        </w:rPr>
      </w:pPr>
      <w:r>
        <w:rPr>
          <w:rStyle w:val="af0"/>
          <w:rFonts w:ascii="宋体" w:hAnsi="宋体"/>
        </w:rPr>
        <w:footnoteRef/>
      </w:r>
      <w:r>
        <w:rPr>
          <w:rStyle w:val="af0"/>
          <w:vertAlign w:val="baseline"/>
        </w:rPr>
        <w:t xml:space="preserve"> </w:t>
      </w:r>
      <w:r>
        <w:rPr>
          <w:rStyle w:val="af0"/>
          <w:vertAlign w:val="baseline"/>
        </w:rPr>
        <w:t>会计师</w:t>
      </w:r>
      <w:r>
        <w:rPr>
          <w:rStyle w:val="af0"/>
          <w:rFonts w:hint="eastAsia"/>
          <w:vertAlign w:val="baseline"/>
        </w:rPr>
        <w:t>事务所应按照相关银行公示的函证具体要求提供相关人员的证明文件等。</w:t>
      </w:r>
    </w:p>
  </w:footnote>
  <w:footnote w:id="12">
    <w:p w:rsidR="004F4AA1" w:rsidRDefault="00EF4052">
      <w:pPr>
        <w:pStyle w:val="a9"/>
        <w:spacing w:after="0"/>
        <w:rPr>
          <w:lang w:val="en-GB"/>
        </w:rPr>
      </w:pPr>
      <w:r>
        <w:rPr>
          <w:rStyle w:val="af0"/>
          <w:rFonts w:ascii="宋体" w:hAnsi="宋体"/>
        </w:rPr>
        <w:footnoteRef/>
      </w:r>
      <w:r>
        <w:rPr>
          <w:rFonts w:hint="eastAsia"/>
        </w:rPr>
        <w:t>“</w:t>
      </w:r>
      <w:r>
        <w:rPr>
          <w:rStyle w:val="af0"/>
          <w:rFonts w:hint="eastAsia"/>
          <w:vertAlign w:val="baseline"/>
        </w:rPr>
        <w:t>回函地址、联系人、电话、传真、邮编、电子邮箱</w:t>
      </w:r>
      <w:r>
        <w:rPr>
          <w:rFonts w:hint="eastAsia"/>
        </w:rPr>
        <w:t>”</w:t>
      </w:r>
      <w:r>
        <w:rPr>
          <w:rStyle w:val="af0"/>
          <w:rFonts w:hint="eastAsia"/>
          <w:vertAlign w:val="baseline"/>
        </w:rPr>
        <w:t>等要素应完整、准确填写。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015"/>
    <w:rsid w:val="95DF3DB2"/>
    <w:rsid w:val="9BF7D416"/>
    <w:rsid w:val="9E53998B"/>
    <w:rsid w:val="9F7BA787"/>
    <w:rsid w:val="A3DB93B3"/>
    <w:rsid w:val="ADFFCA85"/>
    <w:rsid w:val="AFB34BC8"/>
    <w:rsid w:val="BB79C758"/>
    <w:rsid w:val="D42FBB4E"/>
    <w:rsid w:val="D7F2C2BC"/>
    <w:rsid w:val="DB6D5C44"/>
    <w:rsid w:val="DBFF46E7"/>
    <w:rsid w:val="DF7FFAA9"/>
    <w:rsid w:val="E3D5E496"/>
    <w:rsid w:val="EEB4E62C"/>
    <w:rsid w:val="EF9FB89F"/>
    <w:rsid w:val="EFDEE9FD"/>
    <w:rsid w:val="F23F1BC9"/>
    <w:rsid w:val="F773DB29"/>
    <w:rsid w:val="F9EB8C3C"/>
    <w:rsid w:val="FA7A6699"/>
    <w:rsid w:val="FC990C0F"/>
    <w:rsid w:val="FDCD3D45"/>
    <w:rsid w:val="FE7ED195"/>
    <w:rsid w:val="FE9FE15A"/>
    <w:rsid w:val="FF9DF5B7"/>
    <w:rsid w:val="FFAF524D"/>
    <w:rsid w:val="FFCFDBE8"/>
    <w:rsid w:val="FFE5F998"/>
    <w:rsid w:val="FFFB22FB"/>
    <w:rsid w:val="0000603E"/>
    <w:rsid w:val="00031AE5"/>
    <w:rsid w:val="0004449D"/>
    <w:rsid w:val="00071ACC"/>
    <w:rsid w:val="000820FD"/>
    <w:rsid w:val="00093E44"/>
    <w:rsid w:val="0009738C"/>
    <w:rsid w:val="000A2877"/>
    <w:rsid w:val="000A5E5A"/>
    <w:rsid w:val="000E065C"/>
    <w:rsid w:val="00132170"/>
    <w:rsid w:val="00142EFF"/>
    <w:rsid w:val="001745D8"/>
    <w:rsid w:val="001B56C5"/>
    <w:rsid w:val="001F2103"/>
    <w:rsid w:val="00212CAB"/>
    <w:rsid w:val="0021472D"/>
    <w:rsid w:val="002218D0"/>
    <w:rsid w:val="002263D9"/>
    <w:rsid w:val="002613EC"/>
    <w:rsid w:val="0028517B"/>
    <w:rsid w:val="00297534"/>
    <w:rsid w:val="002B6B81"/>
    <w:rsid w:val="002F3F99"/>
    <w:rsid w:val="00304C62"/>
    <w:rsid w:val="003257B9"/>
    <w:rsid w:val="00351070"/>
    <w:rsid w:val="003511E2"/>
    <w:rsid w:val="00384173"/>
    <w:rsid w:val="003A4328"/>
    <w:rsid w:val="003B1000"/>
    <w:rsid w:val="003C510D"/>
    <w:rsid w:val="003D719A"/>
    <w:rsid w:val="003E5180"/>
    <w:rsid w:val="003E6785"/>
    <w:rsid w:val="003F0193"/>
    <w:rsid w:val="003F1AC4"/>
    <w:rsid w:val="004073D8"/>
    <w:rsid w:val="00407A02"/>
    <w:rsid w:val="0043590D"/>
    <w:rsid w:val="00456A73"/>
    <w:rsid w:val="00495777"/>
    <w:rsid w:val="00496F94"/>
    <w:rsid w:val="004A01C5"/>
    <w:rsid w:val="004B640A"/>
    <w:rsid w:val="004E6A5D"/>
    <w:rsid w:val="004E78D1"/>
    <w:rsid w:val="004F453A"/>
    <w:rsid w:val="004F4AA1"/>
    <w:rsid w:val="004F5A4B"/>
    <w:rsid w:val="00517EBB"/>
    <w:rsid w:val="00527569"/>
    <w:rsid w:val="005639A8"/>
    <w:rsid w:val="005756E7"/>
    <w:rsid w:val="0058426E"/>
    <w:rsid w:val="005906D1"/>
    <w:rsid w:val="005A695E"/>
    <w:rsid w:val="005A6B98"/>
    <w:rsid w:val="005B113E"/>
    <w:rsid w:val="005D3907"/>
    <w:rsid w:val="005F796F"/>
    <w:rsid w:val="006049EE"/>
    <w:rsid w:val="006513B8"/>
    <w:rsid w:val="0065670D"/>
    <w:rsid w:val="00670B7B"/>
    <w:rsid w:val="00677C51"/>
    <w:rsid w:val="00691FFB"/>
    <w:rsid w:val="006A6A93"/>
    <w:rsid w:val="006B46B4"/>
    <w:rsid w:val="006B5231"/>
    <w:rsid w:val="006B73F0"/>
    <w:rsid w:val="006E2ACA"/>
    <w:rsid w:val="006E2F69"/>
    <w:rsid w:val="006F1C6F"/>
    <w:rsid w:val="00723A78"/>
    <w:rsid w:val="007425C1"/>
    <w:rsid w:val="0078224E"/>
    <w:rsid w:val="007929E8"/>
    <w:rsid w:val="00797454"/>
    <w:rsid w:val="007B1B4B"/>
    <w:rsid w:val="007C27C4"/>
    <w:rsid w:val="007D60CB"/>
    <w:rsid w:val="007D6830"/>
    <w:rsid w:val="007E46E4"/>
    <w:rsid w:val="008337C9"/>
    <w:rsid w:val="0086319F"/>
    <w:rsid w:val="00866F34"/>
    <w:rsid w:val="008741BB"/>
    <w:rsid w:val="0088744D"/>
    <w:rsid w:val="008A03B9"/>
    <w:rsid w:val="00903565"/>
    <w:rsid w:val="00912E10"/>
    <w:rsid w:val="00943A98"/>
    <w:rsid w:val="00947D2A"/>
    <w:rsid w:val="00962F23"/>
    <w:rsid w:val="00970742"/>
    <w:rsid w:val="00992C86"/>
    <w:rsid w:val="009B0366"/>
    <w:rsid w:val="009C06A3"/>
    <w:rsid w:val="009C18E7"/>
    <w:rsid w:val="009C6F23"/>
    <w:rsid w:val="009D679B"/>
    <w:rsid w:val="00A006D0"/>
    <w:rsid w:val="00A07679"/>
    <w:rsid w:val="00A521A6"/>
    <w:rsid w:val="00A53207"/>
    <w:rsid w:val="00A8569F"/>
    <w:rsid w:val="00A85DD7"/>
    <w:rsid w:val="00A91015"/>
    <w:rsid w:val="00A97DC7"/>
    <w:rsid w:val="00AB19E5"/>
    <w:rsid w:val="00AC7DE5"/>
    <w:rsid w:val="00AD1C24"/>
    <w:rsid w:val="00AD389C"/>
    <w:rsid w:val="00AD5D81"/>
    <w:rsid w:val="00AE0E34"/>
    <w:rsid w:val="00AF35AE"/>
    <w:rsid w:val="00AF7EE2"/>
    <w:rsid w:val="00B00328"/>
    <w:rsid w:val="00B4150B"/>
    <w:rsid w:val="00B6214C"/>
    <w:rsid w:val="00B642AD"/>
    <w:rsid w:val="00B723D0"/>
    <w:rsid w:val="00B748A3"/>
    <w:rsid w:val="00B7662D"/>
    <w:rsid w:val="00BA10FA"/>
    <w:rsid w:val="00BA7436"/>
    <w:rsid w:val="00BC4805"/>
    <w:rsid w:val="00BD4BC5"/>
    <w:rsid w:val="00BE5468"/>
    <w:rsid w:val="00C02FAF"/>
    <w:rsid w:val="00C136EF"/>
    <w:rsid w:val="00C232FA"/>
    <w:rsid w:val="00C41EA2"/>
    <w:rsid w:val="00C41FBD"/>
    <w:rsid w:val="00C93409"/>
    <w:rsid w:val="00CA0C7A"/>
    <w:rsid w:val="00CA52F8"/>
    <w:rsid w:val="00CA5EB0"/>
    <w:rsid w:val="00CB7147"/>
    <w:rsid w:val="00CD1E6C"/>
    <w:rsid w:val="00CD2DFC"/>
    <w:rsid w:val="00CD3D5D"/>
    <w:rsid w:val="00CF585B"/>
    <w:rsid w:val="00D169F1"/>
    <w:rsid w:val="00D31B0E"/>
    <w:rsid w:val="00D35E20"/>
    <w:rsid w:val="00D578BF"/>
    <w:rsid w:val="00D62E2A"/>
    <w:rsid w:val="00D70221"/>
    <w:rsid w:val="00D74695"/>
    <w:rsid w:val="00D83194"/>
    <w:rsid w:val="00D83654"/>
    <w:rsid w:val="00D90244"/>
    <w:rsid w:val="00DA41FE"/>
    <w:rsid w:val="00DB694A"/>
    <w:rsid w:val="00DC4B89"/>
    <w:rsid w:val="00DC659B"/>
    <w:rsid w:val="00E101E1"/>
    <w:rsid w:val="00E135DA"/>
    <w:rsid w:val="00E44E63"/>
    <w:rsid w:val="00E46B7A"/>
    <w:rsid w:val="00E86B5D"/>
    <w:rsid w:val="00E947F8"/>
    <w:rsid w:val="00EB0B2D"/>
    <w:rsid w:val="00ED767E"/>
    <w:rsid w:val="00EF4052"/>
    <w:rsid w:val="00EF5A20"/>
    <w:rsid w:val="00F00581"/>
    <w:rsid w:val="00F61E10"/>
    <w:rsid w:val="00F63755"/>
    <w:rsid w:val="00F729C5"/>
    <w:rsid w:val="00F81E84"/>
    <w:rsid w:val="00F84FD3"/>
    <w:rsid w:val="00FA0D9B"/>
    <w:rsid w:val="00FA385D"/>
    <w:rsid w:val="00FC7DEC"/>
    <w:rsid w:val="00FD2E0C"/>
    <w:rsid w:val="2E2012D9"/>
    <w:rsid w:val="367C727B"/>
    <w:rsid w:val="36CD93F3"/>
    <w:rsid w:val="3DFF8245"/>
    <w:rsid w:val="3FBF0AAA"/>
    <w:rsid w:val="402C5F33"/>
    <w:rsid w:val="49B67CAB"/>
    <w:rsid w:val="4BD90C7A"/>
    <w:rsid w:val="58CA2A1C"/>
    <w:rsid w:val="5BA72C29"/>
    <w:rsid w:val="5D7D038D"/>
    <w:rsid w:val="5DCFC719"/>
    <w:rsid w:val="5EF75136"/>
    <w:rsid w:val="5FA57900"/>
    <w:rsid w:val="5FAE27EF"/>
    <w:rsid w:val="5FAF6445"/>
    <w:rsid w:val="61BFF604"/>
    <w:rsid w:val="67AFA603"/>
    <w:rsid w:val="749DF3C6"/>
    <w:rsid w:val="766FC3C0"/>
    <w:rsid w:val="76EF0D97"/>
    <w:rsid w:val="773F8B51"/>
    <w:rsid w:val="774DF4CC"/>
    <w:rsid w:val="78E358F4"/>
    <w:rsid w:val="7B7EBF3E"/>
    <w:rsid w:val="7BFFD85A"/>
    <w:rsid w:val="7F77D734"/>
    <w:rsid w:val="7FCF4190"/>
    <w:rsid w:val="7FFF0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Plain Text"/>
    <w:basedOn w:val="a"/>
    <w:link w:val="Char0"/>
    <w:qFormat/>
    <w:rPr>
      <w:rFonts w:ascii="宋体" w:hAnsi="Courier New"/>
    </w:rPr>
  </w:style>
  <w:style w:type="paragraph" w:styleId="a5">
    <w:name w:val="Balloon Text"/>
    <w:basedOn w:val="a"/>
    <w:link w:val="Char1"/>
    <w:uiPriority w:val="99"/>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widowControl w:val="0"/>
      <w:tabs>
        <w:tab w:val="center" w:pos="4153"/>
        <w:tab w:val="right" w:pos="8306"/>
      </w:tabs>
      <w:snapToGrid w:val="0"/>
      <w:spacing w:after="0" w:line="240" w:lineRule="auto"/>
    </w:pPr>
    <w:rPr>
      <w:kern w:val="2"/>
      <w:sz w:val="18"/>
      <w:szCs w:val="18"/>
    </w:rPr>
  </w:style>
  <w:style w:type="paragraph" w:styleId="a7">
    <w:name w:val="header"/>
    <w:basedOn w:val="a"/>
    <w:link w:val="Char3"/>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8">
    <w:name w:val="Subtitle"/>
    <w:basedOn w:val="a"/>
    <w:next w:val="a"/>
    <w:link w:val="Char4"/>
    <w:uiPriority w:val="11"/>
    <w:qFormat/>
    <w:pPr>
      <w:spacing w:after="600"/>
    </w:pPr>
    <w:rPr>
      <w:rFonts w:asciiTheme="majorHAnsi" w:eastAsiaTheme="majorEastAsia" w:hAnsiTheme="majorHAnsi" w:cstheme="majorBidi"/>
      <w:i/>
      <w:iCs/>
      <w:spacing w:val="13"/>
      <w:sz w:val="24"/>
      <w:szCs w:val="24"/>
    </w:rPr>
  </w:style>
  <w:style w:type="paragraph" w:styleId="a9">
    <w:name w:val="footnote text"/>
    <w:basedOn w:val="a"/>
    <w:link w:val="Char5"/>
    <w:uiPriority w:val="99"/>
    <w:unhideWhenUsed/>
    <w:qFormat/>
    <w:pPr>
      <w:widowControl w:val="0"/>
      <w:snapToGrid w:val="0"/>
      <w:spacing w:after="160" w:line="259" w:lineRule="auto"/>
    </w:pPr>
    <w:rPr>
      <w:rFonts w:ascii="Calibri" w:eastAsia="宋体" w:hAnsi="Calibri" w:cs="Times New Roman"/>
      <w:kern w:val="2"/>
      <w:sz w:val="18"/>
      <w:szCs w:val="18"/>
    </w:rPr>
  </w:style>
  <w:style w:type="paragraph" w:styleId="aa">
    <w:name w:val="Title"/>
    <w:basedOn w:val="a"/>
    <w:next w:val="a"/>
    <w:link w:val="Char6"/>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b">
    <w:name w:val="annotation subject"/>
    <w:basedOn w:val="a3"/>
    <w:next w:val="a3"/>
    <w:link w:val="Char7"/>
    <w:uiPriority w:val="99"/>
    <w:unhideWhenUsed/>
    <w:qFormat/>
    <w:pPr>
      <w:spacing w:line="240" w:lineRule="auto"/>
    </w:pPr>
    <w:rPr>
      <w:b/>
      <w:bCs/>
      <w:sz w:val="20"/>
      <w:szCs w:val="20"/>
    </w:rPr>
  </w:style>
  <w:style w:type="table" w:styleId="ac">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uiPriority w:val="20"/>
    <w:qFormat/>
    <w:rPr>
      <w:b/>
      <w:bCs/>
      <w:i/>
      <w:iCs/>
      <w:spacing w:val="10"/>
      <w:shd w:val="clear" w:color="auto" w:fill="auto"/>
    </w:rPr>
  </w:style>
  <w:style w:type="character" w:styleId="af">
    <w:name w:val="annotation reference"/>
    <w:basedOn w:val="a0"/>
    <w:uiPriority w:val="99"/>
    <w:unhideWhenUsed/>
    <w:qFormat/>
    <w:rPr>
      <w:sz w:val="16"/>
      <w:szCs w:val="16"/>
    </w:rPr>
  </w:style>
  <w:style w:type="character" w:styleId="af0">
    <w:name w:val="footnote reference"/>
    <w:basedOn w:val="a0"/>
    <w:uiPriority w:val="99"/>
    <w:unhideWhenUsed/>
    <w:qFormat/>
    <w:rPr>
      <w:vertAlign w:val="superscript"/>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纯文本 Char"/>
    <w:basedOn w:val="a0"/>
    <w:link w:val="a4"/>
    <w:qFormat/>
    <w:rPr>
      <w:rFonts w:ascii="宋体" w:hAnsi="Courier New"/>
      <w:kern w:val="0"/>
      <w:sz w:val="22"/>
    </w:rPr>
  </w:style>
  <w:style w:type="character" w:customStyle="1" w:styleId="1Char">
    <w:name w:val="标题 1 Char"/>
    <w:basedOn w:val="a0"/>
    <w:link w:val="1"/>
    <w:uiPriority w:val="9"/>
    <w:qFormat/>
    <w:rPr>
      <w:rFonts w:asciiTheme="majorHAnsi" w:eastAsiaTheme="majorEastAsia" w:hAnsiTheme="majorHAnsi" w:cstheme="majorBidi"/>
      <w:b/>
      <w:bCs/>
      <w:kern w:val="0"/>
      <w:sz w:val="28"/>
      <w:szCs w:val="28"/>
    </w:rPr>
  </w:style>
  <w:style w:type="character" w:customStyle="1" w:styleId="2Char">
    <w:name w:val="标题 2 Char"/>
    <w:basedOn w:val="a0"/>
    <w:link w:val="2"/>
    <w:uiPriority w:val="9"/>
    <w:qFormat/>
    <w:rPr>
      <w:rFonts w:asciiTheme="majorHAnsi" w:eastAsiaTheme="majorEastAsia" w:hAnsiTheme="majorHAnsi" w:cstheme="majorBidi"/>
      <w:b/>
      <w:bCs/>
      <w:kern w:val="0"/>
      <w:sz w:val="26"/>
      <w:szCs w:val="26"/>
    </w:rPr>
  </w:style>
  <w:style w:type="character" w:customStyle="1" w:styleId="3Char">
    <w:name w:val="标题 3 Char"/>
    <w:basedOn w:val="a0"/>
    <w:link w:val="3"/>
    <w:uiPriority w:val="9"/>
    <w:semiHidden/>
    <w:qFormat/>
    <w:rPr>
      <w:rFonts w:asciiTheme="majorHAnsi" w:eastAsiaTheme="majorEastAsia" w:hAnsiTheme="majorHAnsi" w:cstheme="majorBidi"/>
      <w:b/>
      <w:bCs/>
      <w:kern w:val="0"/>
      <w:sz w:val="22"/>
    </w:rPr>
  </w:style>
  <w:style w:type="character" w:customStyle="1" w:styleId="4Char">
    <w:name w:val="标题 4 Char"/>
    <w:basedOn w:val="a0"/>
    <w:link w:val="4"/>
    <w:uiPriority w:val="9"/>
    <w:semiHidden/>
    <w:qFormat/>
    <w:rPr>
      <w:rFonts w:asciiTheme="majorHAnsi" w:eastAsiaTheme="majorEastAsia" w:hAnsiTheme="majorHAnsi" w:cstheme="majorBidi"/>
      <w:b/>
      <w:bCs/>
      <w:i/>
      <w:iCs/>
      <w:kern w:val="0"/>
      <w:sz w:val="22"/>
    </w:rPr>
  </w:style>
  <w:style w:type="character" w:customStyle="1" w:styleId="5Char">
    <w:name w:val="标题 5 Char"/>
    <w:basedOn w:val="a0"/>
    <w:link w:val="5"/>
    <w:uiPriority w:val="9"/>
    <w:semiHidden/>
    <w:qFormat/>
    <w:rPr>
      <w:rFonts w:asciiTheme="majorHAnsi" w:eastAsiaTheme="majorEastAsia" w:hAnsiTheme="majorHAnsi" w:cstheme="majorBidi"/>
      <w:b/>
      <w:bCs/>
      <w:color w:val="7F7F7F" w:themeColor="text1" w:themeTint="80"/>
      <w:kern w:val="0"/>
      <w:sz w:val="22"/>
    </w:rPr>
  </w:style>
  <w:style w:type="character" w:customStyle="1" w:styleId="6Char">
    <w:name w:val="标题 6 Char"/>
    <w:basedOn w:val="a0"/>
    <w:link w:val="6"/>
    <w:uiPriority w:val="9"/>
    <w:semiHidden/>
    <w:qFormat/>
    <w:rPr>
      <w:rFonts w:asciiTheme="majorHAnsi" w:eastAsiaTheme="majorEastAsia" w:hAnsiTheme="majorHAnsi" w:cstheme="majorBidi"/>
      <w:b/>
      <w:bCs/>
      <w:i/>
      <w:iCs/>
      <w:color w:val="7F7F7F" w:themeColor="text1" w:themeTint="80"/>
      <w:kern w:val="0"/>
      <w:sz w:val="22"/>
    </w:rPr>
  </w:style>
  <w:style w:type="character" w:customStyle="1" w:styleId="7Char">
    <w:name w:val="标题 7 Char"/>
    <w:basedOn w:val="a0"/>
    <w:link w:val="7"/>
    <w:uiPriority w:val="9"/>
    <w:semiHidden/>
    <w:qFormat/>
    <w:rPr>
      <w:rFonts w:asciiTheme="majorHAnsi" w:eastAsiaTheme="majorEastAsia" w:hAnsiTheme="majorHAnsi" w:cstheme="majorBidi"/>
      <w:i/>
      <w:iCs/>
      <w:kern w:val="0"/>
      <w:sz w:val="22"/>
    </w:rPr>
  </w:style>
  <w:style w:type="character" w:customStyle="1" w:styleId="8Char">
    <w:name w:val="标题 8 Char"/>
    <w:basedOn w:val="a0"/>
    <w:link w:val="8"/>
    <w:uiPriority w:val="9"/>
    <w:semiHidden/>
    <w:qFormat/>
    <w:rPr>
      <w:rFonts w:asciiTheme="majorHAnsi" w:eastAsiaTheme="majorEastAsia" w:hAnsiTheme="majorHAnsi" w:cstheme="majorBidi"/>
      <w:kern w:val="0"/>
      <w:sz w:val="20"/>
      <w:szCs w:val="20"/>
    </w:rPr>
  </w:style>
  <w:style w:type="character" w:customStyle="1" w:styleId="9Char">
    <w:name w:val="标题 9 Char"/>
    <w:basedOn w:val="a0"/>
    <w:link w:val="9"/>
    <w:uiPriority w:val="9"/>
    <w:semiHidden/>
    <w:qFormat/>
    <w:rPr>
      <w:rFonts w:asciiTheme="majorHAnsi" w:eastAsiaTheme="majorEastAsia" w:hAnsiTheme="majorHAnsi" w:cstheme="majorBidi"/>
      <w:i/>
      <w:iCs/>
      <w:spacing w:val="5"/>
      <w:kern w:val="0"/>
      <w:sz w:val="20"/>
      <w:szCs w:val="20"/>
    </w:rPr>
  </w:style>
  <w:style w:type="character" w:customStyle="1" w:styleId="Char">
    <w:name w:val="批注文字 Char"/>
    <w:basedOn w:val="a0"/>
    <w:link w:val="a3"/>
    <w:uiPriority w:val="99"/>
    <w:qFormat/>
    <w:rPr>
      <w:kern w:val="0"/>
      <w:sz w:val="22"/>
    </w:rPr>
  </w:style>
  <w:style w:type="character" w:customStyle="1" w:styleId="Char7">
    <w:name w:val="批注主题 Char"/>
    <w:basedOn w:val="Char"/>
    <w:link w:val="ab"/>
    <w:uiPriority w:val="99"/>
    <w:qFormat/>
    <w:rPr>
      <w:b/>
      <w:bCs/>
      <w:kern w:val="0"/>
      <w:sz w:val="20"/>
      <w:szCs w:val="20"/>
    </w:rPr>
  </w:style>
  <w:style w:type="character" w:customStyle="1" w:styleId="Char1">
    <w:name w:val="批注框文本 Char"/>
    <w:basedOn w:val="a0"/>
    <w:link w:val="a5"/>
    <w:uiPriority w:val="99"/>
    <w:qFormat/>
    <w:rPr>
      <w:rFonts w:ascii="Segoe UI" w:hAnsi="Segoe UI" w:cs="Segoe UI"/>
      <w:kern w:val="0"/>
      <w:sz w:val="18"/>
      <w:szCs w:val="18"/>
    </w:rPr>
  </w:style>
  <w:style w:type="paragraph" w:customStyle="1" w:styleId="10">
    <w:name w:val="修订1"/>
    <w:hidden/>
    <w:uiPriority w:val="99"/>
    <w:semiHidden/>
    <w:qFormat/>
    <w:pPr>
      <w:spacing w:after="200" w:line="276" w:lineRule="auto"/>
    </w:pPr>
    <w:rPr>
      <w:rFonts w:ascii="Calibri" w:eastAsiaTheme="minorEastAsia" w:hAnsi="Calibri" w:cstheme="minorBidi"/>
      <w:kern w:val="2"/>
      <w:sz w:val="21"/>
      <w:szCs w:val="22"/>
    </w:rPr>
  </w:style>
  <w:style w:type="paragraph" w:customStyle="1" w:styleId="11">
    <w:name w:val="列出段落1"/>
    <w:basedOn w:val="a"/>
    <w:uiPriority w:val="34"/>
    <w:qFormat/>
    <w:pPr>
      <w:ind w:left="720"/>
      <w:contextualSpacing/>
    </w:pPr>
  </w:style>
  <w:style w:type="character" w:customStyle="1" w:styleId="Char6">
    <w:name w:val="标题 Char"/>
    <w:basedOn w:val="a0"/>
    <w:link w:val="aa"/>
    <w:uiPriority w:val="10"/>
    <w:qFormat/>
    <w:rPr>
      <w:rFonts w:asciiTheme="majorHAnsi" w:eastAsiaTheme="majorEastAsia" w:hAnsiTheme="majorHAnsi" w:cstheme="majorBidi"/>
      <w:spacing w:val="5"/>
      <w:kern w:val="0"/>
      <w:sz w:val="52"/>
      <w:szCs w:val="52"/>
    </w:rPr>
  </w:style>
  <w:style w:type="character" w:customStyle="1" w:styleId="Char4">
    <w:name w:val="副标题 Char"/>
    <w:basedOn w:val="a0"/>
    <w:link w:val="a8"/>
    <w:uiPriority w:val="11"/>
    <w:qFormat/>
    <w:rPr>
      <w:rFonts w:asciiTheme="majorHAnsi" w:eastAsiaTheme="majorEastAsia" w:hAnsiTheme="majorHAnsi" w:cstheme="majorBidi"/>
      <w:i/>
      <w:iCs/>
      <w:spacing w:val="13"/>
      <w:kern w:val="0"/>
      <w:sz w:val="24"/>
      <w:szCs w:val="24"/>
    </w:rPr>
  </w:style>
  <w:style w:type="paragraph" w:customStyle="1" w:styleId="12">
    <w:name w:val="无间隔1"/>
    <w:basedOn w:val="a"/>
    <w:uiPriority w:val="1"/>
    <w:qFormat/>
    <w:pPr>
      <w:spacing w:after="0" w:line="240" w:lineRule="auto"/>
    </w:pPr>
  </w:style>
  <w:style w:type="paragraph" w:customStyle="1" w:styleId="13">
    <w:name w:val="引用1"/>
    <w:basedOn w:val="a"/>
    <w:next w:val="a"/>
    <w:link w:val="Char8"/>
    <w:uiPriority w:val="29"/>
    <w:qFormat/>
    <w:pPr>
      <w:spacing w:before="200" w:after="0"/>
      <w:ind w:left="360" w:right="360"/>
    </w:pPr>
    <w:rPr>
      <w:i/>
      <w:iCs/>
    </w:rPr>
  </w:style>
  <w:style w:type="character" w:customStyle="1" w:styleId="Char8">
    <w:name w:val="引用 Char"/>
    <w:basedOn w:val="a0"/>
    <w:link w:val="13"/>
    <w:uiPriority w:val="29"/>
    <w:qFormat/>
    <w:rPr>
      <w:i/>
      <w:iCs/>
      <w:kern w:val="0"/>
      <w:sz w:val="22"/>
    </w:rPr>
  </w:style>
  <w:style w:type="paragraph" w:customStyle="1" w:styleId="14">
    <w:name w:val="明显引用1"/>
    <w:basedOn w:val="a"/>
    <w:next w:val="a"/>
    <w:link w:val="Char9"/>
    <w:uiPriority w:val="30"/>
    <w:qFormat/>
    <w:pPr>
      <w:pBdr>
        <w:bottom w:val="single" w:sz="4" w:space="1" w:color="auto"/>
      </w:pBdr>
      <w:spacing w:before="200" w:after="280"/>
      <w:ind w:left="1008" w:right="1152"/>
      <w:jc w:val="both"/>
    </w:pPr>
    <w:rPr>
      <w:b/>
      <w:bCs/>
      <w:i/>
      <w:iCs/>
    </w:rPr>
  </w:style>
  <w:style w:type="character" w:customStyle="1" w:styleId="Char9">
    <w:name w:val="明显引用 Char"/>
    <w:basedOn w:val="a0"/>
    <w:link w:val="14"/>
    <w:uiPriority w:val="30"/>
    <w:qFormat/>
    <w:rPr>
      <w:b/>
      <w:bCs/>
      <w:i/>
      <w:iCs/>
      <w:kern w:val="0"/>
      <w:sz w:val="22"/>
    </w:rPr>
  </w:style>
  <w:style w:type="character" w:customStyle="1" w:styleId="15">
    <w:name w:val="不明显强调1"/>
    <w:uiPriority w:val="19"/>
    <w:qFormat/>
    <w:rPr>
      <w:i/>
      <w:iCs/>
    </w:rPr>
  </w:style>
  <w:style w:type="character" w:customStyle="1" w:styleId="16">
    <w:name w:val="明显强调1"/>
    <w:uiPriority w:val="21"/>
    <w:qFormat/>
    <w:rPr>
      <w:b/>
      <w:bCs/>
    </w:rPr>
  </w:style>
  <w:style w:type="character" w:customStyle="1" w:styleId="17">
    <w:name w:val="不明显参考1"/>
    <w:uiPriority w:val="31"/>
    <w:qFormat/>
    <w:rPr>
      <w:smallCaps/>
    </w:rPr>
  </w:style>
  <w:style w:type="character" w:customStyle="1" w:styleId="18">
    <w:name w:val="明显参考1"/>
    <w:uiPriority w:val="32"/>
    <w:qFormat/>
    <w:rPr>
      <w:smallCaps/>
      <w:spacing w:val="5"/>
      <w:u w:val="single"/>
    </w:rPr>
  </w:style>
  <w:style w:type="character" w:customStyle="1" w:styleId="19">
    <w:name w:val="书籍标题1"/>
    <w:uiPriority w:val="33"/>
    <w:qFormat/>
    <w:rPr>
      <w:i/>
      <w:iCs/>
      <w:smallCaps/>
      <w:spacing w:val="5"/>
    </w:rPr>
  </w:style>
  <w:style w:type="paragraph" w:customStyle="1" w:styleId="TOC1">
    <w:name w:val="TOC 标题1"/>
    <w:basedOn w:val="1"/>
    <w:next w:val="a"/>
    <w:uiPriority w:val="39"/>
    <w:unhideWhenUsed/>
    <w:qFormat/>
    <w:pPr>
      <w:outlineLvl w:val="9"/>
    </w:pPr>
    <w:rPr>
      <w:lang w:bidi="en-US"/>
    </w:rPr>
  </w:style>
  <w:style w:type="character" w:customStyle="1" w:styleId="Char5">
    <w:name w:val="脚注文本 Char"/>
    <w:basedOn w:val="a0"/>
    <w:link w:val="a9"/>
    <w:uiPriority w:val="99"/>
    <w:semiHidden/>
    <w:qFormat/>
    <w:rPr>
      <w:rFonts w:ascii="Calibri" w:eastAsia="宋体" w:hAnsi="Calibri" w:cs="Times New Roman"/>
      <w:sz w:val="18"/>
      <w:szCs w:val="18"/>
    </w:rPr>
  </w:style>
  <w:style w:type="table" w:customStyle="1" w:styleId="1a">
    <w:name w:val="网格型1"/>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修订2"/>
    <w:hidden/>
    <w:uiPriority w:val="99"/>
    <w:semiHidden/>
    <w:qFormat/>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p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p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p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style>
  <w:style w:type="paragraph" w:styleId="a4">
    <w:name w:val="Plain Text"/>
    <w:basedOn w:val="a"/>
    <w:link w:val="Char0"/>
    <w:qFormat/>
    <w:rPr>
      <w:rFonts w:ascii="宋体" w:hAnsi="Courier New"/>
    </w:rPr>
  </w:style>
  <w:style w:type="paragraph" w:styleId="a5">
    <w:name w:val="Balloon Text"/>
    <w:basedOn w:val="a"/>
    <w:link w:val="Char1"/>
    <w:uiPriority w:val="99"/>
    <w:unhideWhenUsed/>
    <w:qFormat/>
    <w:pPr>
      <w:spacing w:after="0" w:line="240" w:lineRule="auto"/>
    </w:pPr>
    <w:rPr>
      <w:rFonts w:ascii="Segoe UI" w:hAnsi="Segoe UI" w:cs="Segoe UI"/>
      <w:sz w:val="18"/>
      <w:szCs w:val="18"/>
    </w:rPr>
  </w:style>
  <w:style w:type="paragraph" w:styleId="a6">
    <w:name w:val="footer"/>
    <w:basedOn w:val="a"/>
    <w:link w:val="Char2"/>
    <w:uiPriority w:val="99"/>
    <w:unhideWhenUsed/>
    <w:qFormat/>
    <w:pPr>
      <w:widowControl w:val="0"/>
      <w:tabs>
        <w:tab w:val="center" w:pos="4153"/>
        <w:tab w:val="right" w:pos="8306"/>
      </w:tabs>
      <w:snapToGrid w:val="0"/>
      <w:spacing w:after="0" w:line="240" w:lineRule="auto"/>
    </w:pPr>
    <w:rPr>
      <w:kern w:val="2"/>
      <w:sz w:val="18"/>
      <w:szCs w:val="18"/>
    </w:rPr>
  </w:style>
  <w:style w:type="paragraph" w:styleId="a7">
    <w:name w:val="header"/>
    <w:basedOn w:val="a"/>
    <w:link w:val="Char3"/>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rPr>
  </w:style>
  <w:style w:type="paragraph" w:styleId="a8">
    <w:name w:val="Subtitle"/>
    <w:basedOn w:val="a"/>
    <w:next w:val="a"/>
    <w:link w:val="Char4"/>
    <w:uiPriority w:val="11"/>
    <w:qFormat/>
    <w:pPr>
      <w:spacing w:after="600"/>
    </w:pPr>
    <w:rPr>
      <w:rFonts w:asciiTheme="majorHAnsi" w:eastAsiaTheme="majorEastAsia" w:hAnsiTheme="majorHAnsi" w:cstheme="majorBidi"/>
      <w:i/>
      <w:iCs/>
      <w:spacing w:val="13"/>
      <w:sz w:val="24"/>
      <w:szCs w:val="24"/>
    </w:rPr>
  </w:style>
  <w:style w:type="paragraph" w:styleId="a9">
    <w:name w:val="footnote text"/>
    <w:basedOn w:val="a"/>
    <w:link w:val="Char5"/>
    <w:uiPriority w:val="99"/>
    <w:unhideWhenUsed/>
    <w:qFormat/>
    <w:pPr>
      <w:widowControl w:val="0"/>
      <w:snapToGrid w:val="0"/>
      <w:spacing w:after="160" w:line="259" w:lineRule="auto"/>
    </w:pPr>
    <w:rPr>
      <w:rFonts w:ascii="Calibri" w:eastAsia="宋体" w:hAnsi="Calibri" w:cs="Times New Roman"/>
      <w:kern w:val="2"/>
      <w:sz w:val="18"/>
      <w:szCs w:val="18"/>
    </w:rPr>
  </w:style>
  <w:style w:type="paragraph" w:styleId="aa">
    <w:name w:val="Title"/>
    <w:basedOn w:val="a"/>
    <w:next w:val="a"/>
    <w:link w:val="Char6"/>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ab">
    <w:name w:val="annotation subject"/>
    <w:basedOn w:val="a3"/>
    <w:next w:val="a3"/>
    <w:link w:val="Char7"/>
    <w:uiPriority w:val="99"/>
    <w:unhideWhenUsed/>
    <w:qFormat/>
    <w:pPr>
      <w:spacing w:line="240" w:lineRule="auto"/>
    </w:pPr>
    <w:rPr>
      <w:b/>
      <w:bCs/>
      <w:sz w:val="20"/>
      <w:szCs w:val="20"/>
    </w:rPr>
  </w:style>
  <w:style w:type="table" w:styleId="ac">
    <w:name w:val="Table Grid"/>
    <w:basedOn w:val="a1"/>
    <w:uiPriority w:val="39"/>
    <w:qFormat/>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uiPriority w:val="20"/>
    <w:qFormat/>
    <w:rPr>
      <w:b/>
      <w:bCs/>
      <w:i/>
      <w:iCs/>
      <w:spacing w:val="10"/>
      <w:shd w:val="clear" w:color="auto" w:fill="auto"/>
    </w:rPr>
  </w:style>
  <w:style w:type="character" w:styleId="af">
    <w:name w:val="annotation reference"/>
    <w:basedOn w:val="a0"/>
    <w:uiPriority w:val="99"/>
    <w:unhideWhenUsed/>
    <w:qFormat/>
    <w:rPr>
      <w:sz w:val="16"/>
      <w:szCs w:val="16"/>
    </w:rPr>
  </w:style>
  <w:style w:type="character" w:styleId="af0">
    <w:name w:val="footnote reference"/>
    <w:basedOn w:val="a0"/>
    <w:uiPriority w:val="99"/>
    <w:unhideWhenUsed/>
    <w:qFormat/>
    <w:rPr>
      <w:vertAlign w:val="superscript"/>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0">
    <w:name w:val="纯文本 Char"/>
    <w:basedOn w:val="a0"/>
    <w:link w:val="a4"/>
    <w:qFormat/>
    <w:rPr>
      <w:rFonts w:ascii="宋体" w:hAnsi="Courier New"/>
      <w:kern w:val="0"/>
      <w:sz w:val="22"/>
    </w:rPr>
  </w:style>
  <w:style w:type="character" w:customStyle="1" w:styleId="1Char">
    <w:name w:val="标题 1 Char"/>
    <w:basedOn w:val="a0"/>
    <w:link w:val="1"/>
    <w:uiPriority w:val="9"/>
    <w:qFormat/>
    <w:rPr>
      <w:rFonts w:asciiTheme="majorHAnsi" w:eastAsiaTheme="majorEastAsia" w:hAnsiTheme="majorHAnsi" w:cstheme="majorBidi"/>
      <w:b/>
      <w:bCs/>
      <w:kern w:val="0"/>
      <w:sz w:val="28"/>
      <w:szCs w:val="28"/>
    </w:rPr>
  </w:style>
  <w:style w:type="character" w:customStyle="1" w:styleId="2Char">
    <w:name w:val="标题 2 Char"/>
    <w:basedOn w:val="a0"/>
    <w:link w:val="2"/>
    <w:uiPriority w:val="9"/>
    <w:qFormat/>
    <w:rPr>
      <w:rFonts w:asciiTheme="majorHAnsi" w:eastAsiaTheme="majorEastAsia" w:hAnsiTheme="majorHAnsi" w:cstheme="majorBidi"/>
      <w:b/>
      <w:bCs/>
      <w:kern w:val="0"/>
      <w:sz w:val="26"/>
      <w:szCs w:val="26"/>
    </w:rPr>
  </w:style>
  <w:style w:type="character" w:customStyle="1" w:styleId="3Char">
    <w:name w:val="标题 3 Char"/>
    <w:basedOn w:val="a0"/>
    <w:link w:val="3"/>
    <w:uiPriority w:val="9"/>
    <w:semiHidden/>
    <w:qFormat/>
    <w:rPr>
      <w:rFonts w:asciiTheme="majorHAnsi" w:eastAsiaTheme="majorEastAsia" w:hAnsiTheme="majorHAnsi" w:cstheme="majorBidi"/>
      <w:b/>
      <w:bCs/>
      <w:kern w:val="0"/>
      <w:sz w:val="22"/>
    </w:rPr>
  </w:style>
  <w:style w:type="character" w:customStyle="1" w:styleId="4Char">
    <w:name w:val="标题 4 Char"/>
    <w:basedOn w:val="a0"/>
    <w:link w:val="4"/>
    <w:uiPriority w:val="9"/>
    <w:semiHidden/>
    <w:qFormat/>
    <w:rPr>
      <w:rFonts w:asciiTheme="majorHAnsi" w:eastAsiaTheme="majorEastAsia" w:hAnsiTheme="majorHAnsi" w:cstheme="majorBidi"/>
      <w:b/>
      <w:bCs/>
      <w:i/>
      <w:iCs/>
      <w:kern w:val="0"/>
      <w:sz w:val="22"/>
    </w:rPr>
  </w:style>
  <w:style w:type="character" w:customStyle="1" w:styleId="5Char">
    <w:name w:val="标题 5 Char"/>
    <w:basedOn w:val="a0"/>
    <w:link w:val="5"/>
    <w:uiPriority w:val="9"/>
    <w:semiHidden/>
    <w:qFormat/>
    <w:rPr>
      <w:rFonts w:asciiTheme="majorHAnsi" w:eastAsiaTheme="majorEastAsia" w:hAnsiTheme="majorHAnsi" w:cstheme="majorBidi"/>
      <w:b/>
      <w:bCs/>
      <w:color w:val="7F7F7F" w:themeColor="text1" w:themeTint="80"/>
      <w:kern w:val="0"/>
      <w:sz w:val="22"/>
    </w:rPr>
  </w:style>
  <w:style w:type="character" w:customStyle="1" w:styleId="6Char">
    <w:name w:val="标题 6 Char"/>
    <w:basedOn w:val="a0"/>
    <w:link w:val="6"/>
    <w:uiPriority w:val="9"/>
    <w:semiHidden/>
    <w:qFormat/>
    <w:rPr>
      <w:rFonts w:asciiTheme="majorHAnsi" w:eastAsiaTheme="majorEastAsia" w:hAnsiTheme="majorHAnsi" w:cstheme="majorBidi"/>
      <w:b/>
      <w:bCs/>
      <w:i/>
      <w:iCs/>
      <w:color w:val="7F7F7F" w:themeColor="text1" w:themeTint="80"/>
      <w:kern w:val="0"/>
      <w:sz w:val="22"/>
    </w:rPr>
  </w:style>
  <w:style w:type="character" w:customStyle="1" w:styleId="7Char">
    <w:name w:val="标题 7 Char"/>
    <w:basedOn w:val="a0"/>
    <w:link w:val="7"/>
    <w:uiPriority w:val="9"/>
    <w:semiHidden/>
    <w:qFormat/>
    <w:rPr>
      <w:rFonts w:asciiTheme="majorHAnsi" w:eastAsiaTheme="majorEastAsia" w:hAnsiTheme="majorHAnsi" w:cstheme="majorBidi"/>
      <w:i/>
      <w:iCs/>
      <w:kern w:val="0"/>
      <w:sz w:val="22"/>
    </w:rPr>
  </w:style>
  <w:style w:type="character" w:customStyle="1" w:styleId="8Char">
    <w:name w:val="标题 8 Char"/>
    <w:basedOn w:val="a0"/>
    <w:link w:val="8"/>
    <w:uiPriority w:val="9"/>
    <w:semiHidden/>
    <w:qFormat/>
    <w:rPr>
      <w:rFonts w:asciiTheme="majorHAnsi" w:eastAsiaTheme="majorEastAsia" w:hAnsiTheme="majorHAnsi" w:cstheme="majorBidi"/>
      <w:kern w:val="0"/>
      <w:sz w:val="20"/>
      <w:szCs w:val="20"/>
    </w:rPr>
  </w:style>
  <w:style w:type="character" w:customStyle="1" w:styleId="9Char">
    <w:name w:val="标题 9 Char"/>
    <w:basedOn w:val="a0"/>
    <w:link w:val="9"/>
    <w:uiPriority w:val="9"/>
    <w:semiHidden/>
    <w:qFormat/>
    <w:rPr>
      <w:rFonts w:asciiTheme="majorHAnsi" w:eastAsiaTheme="majorEastAsia" w:hAnsiTheme="majorHAnsi" w:cstheme="majorBidi"/>
      <w:i/>
      <w:iCs/>
      <w:spacing w:val="5"/>
      <w:kern w:val="0"/>
      <w:sz w:val="20"/>
      <w:szCs w:val="20"/>
    </w:rPr>
  </w:style>
  <w:style w:type="character" w:customStyle="1" w:styleId="Char">
    <w:name w:val="批注文字 Char"/>
    <w:basedOn w:val="a0"/>
    <w:link w:val="a3"/>
    <w:uiPriority w:val="99"/>
    <w:qFormat/>
    <w:rPr>
      <w:kern w:val="0"/>
      <w:sz w:val="22"/>
    </w:rPr>
  </w:style>
  <w:style w:type="character" w:customStyle="1" w:styleId="Char7">
    <w:name w:val="批注主题 Char"/>
    <w:basedOn w:val="Char"/>
    <w:link w:val="ab"/>
    <w:uiPriority w:val="99"/>
    <w:qFormat/>
    <w:rPr>
      <w:b/>
      <w:bCs/>
      <w:kern w:val="0"/>
      <w:sz w:val="20"/>
      <w:szCs w:val="20"/>
    </w:rPr>
  </w:style>
  <w:style w:type="character" w:customStyle="1" w:styleId="Char1">
    <w:name w:val="批注框文本 Char"/>
    <w:basedOn w:val="a0"/>
    <w:link w:val="a5"/>
    <w:uiPriority w:val="99"/>
    <w:qFormat/>
    <w:rPr>
      <w:rFonts w:ascii="Segoe UI" w:hAnsi="Segoe UI" w:cs="Segoe UI"/>
      <w:kern w:val="0"/>
      <w:sz w:val="18"/>
      <w:szCs w:val="18"/>
    </w:rPr>
  </w:style>
  <w:style w:type="paragraph" w:customStyle="1" w:styleId="10">
    <w:name w:val="修订1"/>
    <w:hidden/>
    <w:uiPriority w:val="99"/>
    <w:semiHidden/>
    <w:qFormat/>
    <w:pPr>
      <w:spacing w:after="200" w:line="276" w:lineRule="auto"/>
    </w:pPr>
    <w:rPr>
      <w:rFonts w:ascii="Calibri" w:eastAsiaTheme="minorEastAsia" w:hAnsi="Calibri" w:cstheme="minorBidi"/>
      <w:kern w:val="2"/>
      <w:sz w:val="21"/>
      <w:szCs w:val="22"/>
    </w:rPr>
  </w:style>
  <w:style w:type="paragraph" w:customStyle="1" w:styleId="11">
    <w:name w:val="列出段落1"/>
    <w:basedOn w:val="a"/>
    <w:uiPriority w:val="34"/>
    <w:qFormat/>
    <w:pPr>
      <w:ind w:left="720"/>
      <w:contextualSpacing/>
    </w:pPr>
  </w:style>
  <w:style w:type="character" w:customStyle="1" w:styleId="Char6">
    <w:name w:val="标题 Char"/>
    <w:basedOn w:val="a0"/>
    <w:link w:val="aa"/>
    <w:uiPriority w:val="10"/>
    <w:qFormat/>
    <w:rPr>
      <w:rFonts w:asciiTheme="majorHAnsi" w:eastAsiaTheme="majorEastAsia" w:hAnsiTheme="majorHAnsi" w:cstheme="majorBidi"/>
      <w:spacing w:val="5"/>
      <w:kern w:val="0"/>
      <w:sz w:val="52"/>
      <w:szCs w:val="52"/>
    </w:rPr>
  </w:style>
  <w:style w:type="character" w:customStyle="1" w:styleId="Char4">
    <w:name w:val="副标题 Char"/>
    <w:basedOn w:val="a0"/>
    <w:link w:val="a8"/>
    <w:uiPriority w:val="11"/>
    <w:qFormat/>
    <w:rPr>
      <w:rFonts w:asciiTheme="majorHAnsi" w:eastAsiaTheme="majorEastAsia" w:hAnsiTheme="majorHAnsi" w:cstheme="majorBidi"/>
      <w:i/>
      <w:iCs/>
      <w:spacing w:val="13"/>
      <w:kern w:val="0"/>
      <w:sz w:val="24"/>
      <w:szCs w:val="24"/>
    </w:rPr>
  </w:style>
  <w:style w:type="paragraph" w:customStyle="1" w:styleId="12">
    <w:name w:val="无间隔1"/>
    <w:basedOn w:val="a"/>
    <w:uiPriority w:val="1"/>
    <w:qFormat/>
    <w:pPr>
      <w:spacing w:after="0" w:line="240" w:lineRule="auto"/>
    </w:pPr>
  </w:style>
  <w:style w:type="paragraph" w:customStyle="1" w:styleId="13">
    <w:name w:val="引用1"/>
    <w:basedOn w:val="a"/>
    <w:next w:val="a"/>
    <w:link w:val="Char8"/>
    <w:uiPriority w:val="29"/>
    <w:qFormat/>
    <w:pPr>
      <w:spacing w:before="200" w:after="0"/>
      <w:ind w:left="360" w:right="360"/>
    </w:pPr>
    <w:rPr>
      <w:i/>
      <w:iCs/>
    </w:rPr>
  </w:style>
  <w:style w:type="character" w:customStyle="1" w:styleId="Char8">
    <w:name w:val="引用 Char"/>
    <w:basedOn w:val="a0"/>
    <w:link w:val="13"/>
    <w:uiPriority w:val="29"/>
    <w:qFormat/>
    <w:rPr>
      <w:i/>
      <w:iCs/>
      <w:kern w:val="0"/>
      <w:sz w:val="22"/>
    </w:rPr>
  </w:style>
  <w:style w:type="paragraph" w:customStyle="1" w:styleId="14">
    <w:name w:val="明显引用1"/>
    <w:basedOn w:val="a"/>
    <w:next w:val="a"/>
    <w:link w:val="Char9"/>
    <w:uiPriority w:val="30"/>
    <w:qFormat/>
    <w:pPr>
      <w:pBdr>
        <w:bottom w:val="single" w:sz="4" w:space="1" w:color="auto"/>
      </w:pBdr>
      <w:spacing w:before="200" w:after="280"/>
      <w:ind w:left="1008" w:right="1152"/>
      <w:jc w:val="both"/>
    </w:pPr>
    <w:rPr>
      <w:b/>
      <w:bCs/>
      <w:i/>
      <w:iCs/>
    </w:rPr>
  </w:style>
  <w:style w:type="character" w:customStyle="1" w:styleId="Char9">
    <w:name w:val="明显引用 Char"/>
    <w:basedOn w:val="a0"/>
    <w:link w:val="14"/>
    <w:uiPriority w:val="30"/>
    <w:qFormat/>
    <w:rPr>
      <w:b/>
      <w:bCs/>
      <w:i/>
      <w:iCs/>
      <w:kern w:val="0"/>
      <w:sz w:val="22"/>
    </w:rPr>
  </w:style>
  <w:style w:type="character" w:customStyle="1" w:styleId="15">
    <w:name w:val="不明显强调1"/>
    <w:uiPriority w:val="19"/>
    <w:qFormat/>
    <w:rPr>
      <w:i/>
      <w:iCs/>
    </w:rPr>
  </w:style>
  <w:style w:type="character" w:customStyle="1" w:styleId="16">
    <w:name w:val="明显强调1"/>
    <w:uiPriority w:val="21"/>
    <w:qFormat/>
    <w:rPr>
      <w:b/>
      <w:bCs/>
    </w:rPr>
  </w:style>
  <w:style w:type="character" w:customStyle="1" w:styleId="17">
    <w:name w:val="不明显参考1"/>
    <w:uiPriority w:val="31"/>
    <w:qFormat/>
    <w:rPr>
      <w:smallCaps/>
    </w:rPr>
  </w:style>
  <w:style w:type="character" w:customStyle="1" w:styleId="18">
    <w:name w:val="明显参考1"/>
    <w:uiPriority w:val="32"/>
    <w:qFormat/>
    <w:rPr>
      <w:smallCaps/>
      <w:spacing w:val="5"/>
      <w:u w:val="single"/>
    </w:rPr>
  </w:style>
  <w:style w:type="character" w:customStyle="1" w:styleId="19">
    <w:name w:val="书籍标题1"/>
    <w:uiPriority w:val="33"/>
    <w:qFormat/>
    <w:rPr>
      <w:i/>
      <w:iCs/>
      <w:smallCaps/>
      <w:spacing w:val="5"/>
    </w:rPr>
  </w:style>
  <w:style w:type="paragraph" w:customStyle="1" w:styleId="TOC1">
    <w:name w:val="TOC 标题1"/>
    <w:basedOn w:val="1"/>
    <w:next w:val="a"/>
    <w:uiPriority w:val="39"/>
    <w:unhideWhenUsed/>
    <w:qFormat/>
    <w:pPr>
      <w:outlineLvl w:val="9"/>
    </w:pPr>
    <w:rPr>
      <w:lang w:bidi="en-US"/>
    </w:rPr>
  </w:style>
  <w:style w:type="character" w:customStyle="1" w:styleId="Char5">
    <w:name w:val="脚注文本 Char"/>
    <w:basedOn w:val="a0"/>
    <w:link w:val="a9"/>
    <w:uiPriority w:val="99"/>
    <w:semiHidden/>
    <w:qFormat/>
    <w:rPr>
      <w:rFonts w:ascii="Calibri" w:eastAsia="宋体" w:hAnsi="Calibri" w:cs="Times New Roman"/>
      <w:sz w:val="18"/>
      <w:szCs w:val="18"/>
    </w:rPr>
  </w:style>
  <w:style w:type="table" w:customStyle="1" w:styleId="1a">
    <w:name w:val="网格型1"/>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网格型2"/>
    <w:basedOn w:val="a1"/>
    <w:uiPriority w:val="39"/>
    <w:qFormat/>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修订2"/>
    <w:hidden/>
    <w:uiPriority w:val="99"/>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_Foxmail.1@752c7e8a-18e1-276e-cd8c-a99c1141daf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2845</Words>
  <Characters>16219</Characters>
  <Application>Microsoft Office Word</Application>
  <DocSecurity>0</DocSecurity>
  <Lines>135</Lines>
  <Paragraphs>38</Paragraphs>
  <ScaleCrop>false</ScaleCrop>
  <Company>Lenovo (Beijing) Limited</Company>
  <LinksUpToDate>false</LinksUpToDate>
  <CharactersWithSpaces>19026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Zhao</dc:creator>
  <cp:lastModifiedBy>马国芳</cp:lastModifiedBy>
  <cp:revision>4</cp:revision>
  <cp:lastPrinted>2020-08-26T00:26:00Z</cp:lastPrinted>
  <dcterms:created xsi:type="dcterms:W3CDTF">2020-08-26T00:25:00Z</dcterms:created>
  <dcterms:modified xsi:type="dcterms:W3CDTF">2020-08-26T00:26:00Z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